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34"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June 1, 2026</w:t>
      </w:r>
    </w:p>
    <w:p>
      <w:pPr>
        <w:spacing w:after="0" w:line="28"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968375</wp:posOffset>
            </wp:positionH>
            <wp:positionV relativeFrom="paragraph">
              <wp:posOffset>59055</wp:posOffset>
            </wp:positionV>
            <wp:extent cx="523113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91440</wp:posOffset>
            </wp:positionV>
            <wp:extent cx="52311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pacing w:after="0" w:line="14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2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3032760</wp:posOffset>
            </wp:positionH>
            <wp:positionV relativeFrom="paragraph">
              <wp:posOffset>83820</wp:posOffset>
            </wp:positionV>
            <wp:extent cx="110236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2360" cy="6350"/>
                    </a:xfrm>
                    <a:prstGeom prst="rect">
                      <a:avLst/>
                    </a:prstGeom>
                    <a:noFill/>
                  </pic:spPr>
                </pic:pic>
              </a:graphicData>
            </a:graphic>
          </wp:anchor>
        </w:drawing>
      </w:r>
    </w:p>
    <w:p>
      <w:pPr>
        <w:spacing w:after="0" w:line="12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FORM S-3</w:t>
      </w:r>
    </w:p>
    <w:p>
      <w:pPr>
        <w:spacing w:after="0" w:line="2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jc w:val="center"/>
        <w:ind w:right="-1140"/>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UNDER</w:t>
      </w:r>
    </w:p>
    <w:p>
      <w:pPr>
        <w:jc w:val="center"/>
        <w:ind w:right="-1140"/>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3032760</wp:posOffset>
            </wp:positionH>
            <wp:positionV relativeFrom="paragraph">
              <wp:posOffset>90170</wp:posOffset>
            </wp:positionV>
            <wp:extent cx="110236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2360" cy="6350"/>
                    </a:xfrm>
                    <a:prstGeom prst="rect">
                      <a:avLst/>
                    </a:prstGeom>
                    <a:noFill/>
                  </pic:spPr>
                </pic:pic>
              </a:graphicData>
            </a:graphic>
          </wp:anchor>
        </w:drawing>
      </w:r>
    </w:p>
    <w:p>
      <w:pPr>
        <w:spacing w:after="0" w:line="1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PLUS THERAPEUTICS, INC.</w:t>
      </w:r>
    </w:p>
    <w:p>
      <w:pPr>
        <w:spacing w:after="0" w:line="4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3032760</wp:posOffset>
            </wp:positionH>
            <wp:positionV relativeFrom="paragraph">
              <wp:posOffset>90170</wp:posOffset>
            </wp:positionV>
            <wp:extent cx="110236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2360" cy="6350"/>
                    </a:xfrm>
                    <a:prstGeom prst="rect">
                      <a:avLst/>
                    </a:prstGeom>
                    <a:noFill/>
                  </pic:spPr>
                </pic:pic>
              </a:graphicData>
            </a:graphic>
          </wp:anchor>
        </w:drawing>
      </w:r>
    </w:p>
    <w:p>
      <w:pPr>
        <w:spacing w:after="0" w:line="196" w:lineRule="exact"/>
        <w:rPr>
          <w:sz w:val="24"/>
          <w:szCs w:val="24"/>
          <w:color w:val="auto"/>
        </w:rPr>
      </w:pPr>
    </w:p>
    <w:tbl>
      <w:tblPr>
        <w:tblLayout w:type="fixed"/>
        <w:tblInd w:w="2900" w:type="dxa"/>
        <w:tblCellMar>
          <w:top w:w="0" w:type="dxa"/>
          <w:left w:w="0" w:type="dxa"/>
          <w:bottom w:w="0" w:type="dxa"/>
          <w:right w:w="0" w:type="dxa"/>
        </w:tblCellMar>
      </w:tblPr>
      <w:tr>
        <w:trPr>
          <w:trHeight w:val="159"/>
        </w:trPr>
        <w:tc>
          <w:tcPr>
            <w:tcW w:w="2860" w:type="dxa"/>
            <w:vAlign w:val="bottom"/>
          </w:tcPr>
          <w:p>
            <w:pPr>
              <w:jc w:val="center"/>
              <w:ind w:right="1382"/>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2540" w:type="dxa"/>
            <w:vAlign w:val="bottom"/>
          </w:tcPr>
          <w:p>
            <w:pPr>
              <w:jc w:val="center"/>
              <w:ind w:left="1402"/>
              <w:spacing w:after="0"/>
              <w:rPr>
                <w:sz w:val="20"/>
                <w:szCs w:val="20"/>
                <w:color w:val="auto"/>
              </w:rPr>
            </w:pPr>
            <w:r>
              <w:rPr>
                <w:rFonts w:ascii="Times New Roman" w:cs="Times New Roman" w:eastAsia="Times New Roman" w:hAnsi="Times New Roman"/>
                <w:sz w:val="13"/>
                <w:szCs w:val="13"/>
                <w:b w:val="1"/>
                <w:bCs w:val="1"/>
                <w:color w:val="auto"/>
              </w:rPr>
              <w:t>33-0827593</w:t>
            </w:r>
          </w:p>
        </w:tc>
      </w:tr>
      <w:tr>
        <w:trPr>
          <w:trHeight w:val="111"/>
        </w:trPr>
        <w:tc>
          <w:tcPr>
            <w:tcW w:w="2860" w:type="dxa"/>
            <w:vAlign w:val="bottom"/>
          </w:tcPr>
          <w:p>
            <w:pPr>
              <w:jc w:val="center"/>
              <w:ind w:right="1382"/>
              <w:spacing w:after="0" w:line="111"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2540" w:type="dxa"/>
            <w:vAlign w:val="bottom"/>
          </w:tcPr>
          <w:p>
            <w:pPr>
              <w:jc w:val="center"/>
              <w:ind w:left="1422"/>
              <w:spacing w:after="0" w:line="111"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860" w:type="dxa"/>
            <w:vAlign w:val="bottom"/>
          </w:tcPr>
          <w:p>
            <w:pPr>
              <w:jc w:val="center"/>
              <w:ind w:right="1402"/>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2540" w:type="dxa"/>
            <w:vAlign w:val="bottom"/>
          </w:tcPr>
          <w:p>
            <w:pPr>
              <w:jc w:val="center"/>
              <w:ind w:left="1422"/>
              <w:spacing w:after="0"/>
              <w:rPr>
                <w:sz w:val="20"/>
                <w:szCs w:val="20"/>
                <w:color w:val="auto"/>
              </w:rPr>
            </w:pPr>
            <w:r>
              <w:rPr>
                <w:rFonts w:ascii="Times New Roman" w:cs="Times New Roman" w:eastAsia="Times New Roman" w:hAnsi="Times New Roman"/>
                <w:sz w:val="11"/>
                <w:szCs w:val="11"/>
                <w:b w:val="1"/>
                <w:bCs w:val="1"/>
                <w:color w:val="auto"/>
                <w:w w:val="97"/>
              </w:rPr>
              <w:t>Identification Number)</w:t>
            </w:r>
          </w:p>
        </w:tc>
      </w:tr>
    </w:tbl>
    <w:p>
      <w:pPr>
        <w:spacing w:after="0" w:line="2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6420 Levit Green Boulevard, Suite 310</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Houston, Texas 77021</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(737) 255-7194</w:t>
      </w:r>
    </w:p>
    <w:p>
      <w:pPr>
        <w:spacing w:after="0" w:line="7"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3032760</wp:posOffset>
            </wp:positionH>
            <wp:positionV relativeFrom="paragraph">
              <wp:posOffset>76835</wp:posOffset>
            </wp:positionV>
            <wp:extent cx="11023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2360" cy="6350"/>
                    </a:xfrm>
                    <a:prstGeom prst="rect">
                      <a:avLst/>
                    </a:prstGeom>
                    <a:noFill/>
                  </pic:spPr>
                </pic:pic>
              </a:graphicData>
            </a:graphic>
          </wp:anchor>
        </w:drawing>
      </w:r>
    </w:p>
    <w:p>
      <w:pPr>
        <w:spacing w:after="0" w:line="1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Andrew Sims</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Plus Therapeutics, Inc.</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6420 Levit Green Boulevard, Suite 310</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Houston, Texas 77021</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(737) 255-7194</w:t>
      </w:r>
    </w:p>
    <w:p>
      <w:pPr>
        <w:spacing w:after="0" w:line="7"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3032760</wp:posOffset>
            </wp:positionH>
            <wp:positionV relativeFrom="paragraph">
              <wp:posOffset>76835</wp:posOffset>
            </wp:positionV>
            <wp:extent cx="110236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2360" cy="6350"/>
                    </a:xfrm>
                    <a:prstGeom prst="rect">
                      <a:avLst/>
                    </a:prstGeom>
                    <a:noFill/>
                  </pic:spPr>
                </pic:pic>
              </a:graphicData>
            </a:graphic>
          </wp:anchor>
        </w:drawing>
      </w:r>
    </w:p>
    <w:p>
      <w:pPr>
        <w:spacing w:after="0" w:line="1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David E. Danovitch</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Charles E. Chambers, Jr.</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Sullivan &amp; Worcester LLP</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1251 Avenue of the Americas</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New York, New York 10020</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(212) 660-3060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3032760</wp:posOffset>
            </wp:positionH>
            <wp:positionV relativeFrom="paragraph">
              <wp:posOffset>97790</wp:posOffset>
            </wp:positionV>
            <wp:extent cx="110236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2360" cy="6350"/>
                    </a:xfrm>
                    <a:prstGeom prst="rect">
                      <a:avLst/>
                    </a:prstGeom>
                    <a:noFill/>
                  </pic:spPr>
                </pic:pic>
              </a:graphicData>
            </a:graphic>
          </wp:anchor>
        </w:drawing>
      </w:r>
    </w:p>
    <w:p>
      <w:pPr>
        <w:spacing w:after="0" w:line="17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From time to time after the effective date of this Registration Statement.</w:t>
      </w:r>
    </w:p>
    <w:p>
      <w:pPr>
        <w:spacing w:after="0" w:line="29" w:lineRule="exact"/>
        <w:rPr>
          <w:sz w:val="24"/>
          <w:szCs w:val="24"/>
          <w:color w:val="auto"/>
        </w:rPr>
      </w:pPr>
    </w:p>
    <w:p>
      <w:pPr>
        <w:ind w:left="1520"/>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80" w:lineRule="exact"/>
        <w:rPr>
          <w:sz w:val="24"/>
          <w:szCs w:val="24"/>
          <w:color w:val="auto"/>
        </w:rPr>
      </w:pPr>
    </w:p>
    <w:p>
      <w:pPr>
        <w:ind w:left="1520" w:right="459"/>
        <w:spacing w:after="0" w:line="164"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7" w:lineRule="exact"/>
        <w:rPr>
          <w:sz w:val="24"/>
          <w:szCs w:val="24"/>
          <w:color w:val="auto"/>
        </w:rPr>
      </w:pPr>
    </w:p>
    <w:p>
      <w:pPr>
        <w:ind w:left="1520" w:right="419"/>
        <w:spacing w:after="0" w:line="164"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7" w:lineRule="exact"/>
        <w:rPr>
          <w:sz w:val="24"/>
          <w:szCs w:val="24"/>
          <w:color w:val="auto"/>
        </w:rPr>
      </w:pPr>
    </w:p>
    <w:p>
      <w:pPr>
        <w:ind w:left="1520" w:right="859"/>
        <w:spacing w:after="0" w:line="164"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7" w:lineRule="exact"/>
        <w:rPr>
          <w:sz w:val="24"/>
          <w:szCs w:val="24"/>
          <w:color w:val="auto"/>
        </w:rPr>
      </w:pPr>
    </w:p>
    <w:p>
      <w:pPr>
        <w:ind w:left="1520" w:right="839"/>
        <w:spacing w:after="0" w:line="164"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7" w:lineRule="exact"/>
        <w:rPr>
          <w:sz w:val="24"/>
          <w:szCs w:val="24"/>
          <w:color w:val="auto"/>
        </w:rPr>
      </w:pPr>
    </w:p>
    <w:p>
      <w:pPr>
        <w:ind w:left="1520" w:right="479"/>
        <w:spacing w:after="0" w:line="164"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7" w:lineRule="exact"/>
        <w:rPr>
          <w:sz w:val="24"/>
          <w:szCs w:val="24"/>
          <w:color w:val="auto"/>
        </w:rPr>
      </w:pPr>
    </w:p>
    <w:p>
      <w:pPr>
        <w:ind w:left="1520" w:right="419"/>
        <w:spacing w:after="0" w:line="277"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520" w:type="dxa"/>
        <w:tblCellMar>
          <w:top w:w="0" w:type="dxa"/>
          <w:left w:w="0" w:type="dxa"/>
          <w:bottom w:w="0" w:type="dxa"/>
          <w:right w:w="0" w:type="dxa"/>
        </w:tblCellMar>
      </w:tblPr>
      <w:tr>
        <w:trPr>
          <w:trHeight w:val="202"/>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72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3980" w:type="dxa"/>
            <w:vAlign w:val="bottom"/>
          </w:tcPr>
          <w:p>
            <w:pPr>
              <w:ind w:left="2500"/>
              <w:spacing w:after="0"/>
              <w:rPr>
                <w:sz w:val="20"/>
                <w:szCs w:val="20"/>
                <w:color w:val="auto"/>
              </w:rPr>
            </w:pPr>
            <w:r>
              <w:rPr>
                <w:rFonts w:ascii="Times New Roman" w:cs="Times New Roman" w:eastAsia="Times New Roman" w:hAnsi="Times New Roman"/>
                <w:sz w:val="12"/>
                <w:szCs w:val="12"/>
                <w:color w:val="auto"/>
              </w:rPr>
              <w:t>Accelerated filer</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32"/>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72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3980" w:type="dxa"/>
            <w:vAlign w:val="bottom"/>
          </w:tcPr>
          <w:p>
            <w:pPr>
              <w:ind w:left="25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32"/>
        </w:trPr>
        <w:tc>
          <w:tcPr>
            <w:tcW w:w="1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980" w:type="dxa"/>
            <w:vAlign w:val="bottom"/>
          </w:tcPr>
          <w:p>
            <w:pPr>
              <w:ind w:left="2500"/>
              <w:spacing w:after="0"/>
              <w:rPr>
                <w:sz w:val="20"/>
                <w:szCs w:val="20"/>
                <w:color w:val="auto"/>
              </w:rPr>
            </w:pPr>
            <w:r>
              <w:rPr>
                <w:rFonts w:ascii="Times New Roman" w:cs="Times New Roman" w:eastAsia="Times New Roman" w:hAnsi="Times New Roman"/>
                <w:sz w:val="12"/>
                <w:szCs w:val="12"/>
                <w:color w:val="auto"/>
              </w:rPr>
              <w:t>Emerging growth company</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3032760</wp:posOffset>
            </wp:positionH>
            <wp:positionV relativeFrom="paragraph">
              <wp:posOffset>74930</wp:posOffset>
            </wp:positionV>
            <wp:extent cx="110236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2360" cy="6350"/>
                    </a:xfrm>
                    <a:prstGeom prst="rect">
                      <a:avLst/>
                    </a:prstGeom>
                    <a:noFill/>
                  </pic:spPr>
                </pic:pic>
              </a:graphicData>
            </a:graphic>
          </wp:anchor>
        </w:drawing>
      </w:r>
    </w:p>
    <w:p>
      <w:pPr>
        <w:spacing w:after="0" w:line="137" w:lineRule="exact"/>
        <w:rPr>
          <w:sz w:val="24"/>
          <w:szCs w:val="24"/>
          <w:color w:val="auto"/>
        </w:rPr>
      </w:pPr>
    </w:p>
    <w:p>
      <w:pPr>
        <w:ind w:left="1520" w:right="679"/>
        <w:spacing w:after="0" w:line="16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3032760</wp:posOffset>
            </wp:positionH>
            <wp:positionV relativeFrom="paragraph">
              <wp:posOffset>74930</wp:posOffset>
            </wp:positionV>
            <wp:extent cx="110236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2360" cy="6350"/>
                    </a:xfrm>
                    <a:prstGeom prst="rect">
                      <a:avLst/>
                    </a:prstGeom>
                    <a:noFill/>
                  </pic:spPr>
                </pic:pic>
              </a:graphicData>
            </a:graphic>
          </wp:anchor>
        </w:drawing>
      </w:r>
    </w:p>
    <w:p>
      <w:pPr>
        <w:spacing w:after="0" w:line="136" w:lineRule="exact"/>
        <w:rPr>
          <w:sz w:val="24"/>
          <w:szCs w:val="24"/>
          <w:color w:val="auto"/>
        </w:rPr>
      </w:pPr>
    </w:p>
    <w:p>
      <w:pPr>
        <w:ind w:left="1520" w:right="399"/>
        <w:spacing w:after="0" w:line="276"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968375</wp:posOffset>
            </wp:positionH>
            <wp:positionV relativeFrom="paragraph">
              <wp:posOffset>60325</wp:posOffset>
            </wp:positionV>
            <wp:extent cx="523113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92075</wp:posOffset>
            </wp:positionV>
            <wp:extent cx="523113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38" w:orient="portrait"/>
          <w:cols w:equalWidth="0" w:num="1">
            <w:col w:w="10159"/>
          </w:cols>
          <w:pgMar w:left="300" w:top="20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17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This registration statement contains:</w:t>
      </w:r>
    </w:p>
    <w:p>
      <w:pPr>
        <w:spacing w:after="0" w:line="103" w:lineRule="exact"/>
        <w:rPr>
          <w:sz w:val="20"/>
          <w:szCs w:val="20"/>
          <w:color w:val="auto"/>
        </w:rPr>
      </w:pPr>
    </w:p>
    <w:p>
      <w:pPr>
        <w:ind w:left="2260" w:right="479" w:hanging="331"/>
        <w:spacing w:after="0" w:line="298" w:lineRule="auto"/>
        <w:tabs>
          <w:tab w:leader="none" w:pos="22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base prospectus, which covers the offering, issuance and sale of the registrant’s common stock, preferred stock, warrants, debt securities and/or units from time to time in one or more offerings; and</w:t>
      </w:r>
    </w:p>
    <w:p>
      <w:pPr>
        <w:spacing w:after="0" w:line="42" w:lineRule="exact"/>
        <w:rPr>
          <w:rFonts w:ascii="Times New Roman" w:cs="Times New Roman" w:eastAsia="Times New Roman" w:hAnsi="Times New Roman"/>
          <w:sz w:val="13"/>
          <w:szCs w:val="13"/>
          <w:color w:val="auto"/>
        </w:rPr>
      </w:pPr>
    </w:p>
    <w:p>
      <w:pPr>
        <w:ind w:left="2260" w:right="639" w:hanging="331"/>
        <w:spacing w:after="0" w:line="278" w:lineRule="auto"/>
        <w:tabs>
          <w:tab w:leader="none" w:pos="22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equity distribution agreement prospectus, which covers the offering, issuance and sale by us of up to a maximum aggregate offering price of $17,350,000 of the registrant’s common stock that may be issued and sold from time to time under an equity distribution agreement with Canaccord Genuity LLC.</w:t>
      </w:r>
    </w:p>
    <w:p>
      <w:pPr>
        <w:spacing w:after="0" w:line="127" w:lineRule="exact"/>
        <w:rPr>
          <w:sz w:val="20"/>
          <w:szCs w:val="20"/>
          <w:color w:val="auto"/>
        </w:rPr>
      </w:pPr>
    </w:p>
    <w:p>
      <w:pPr>
        <w:ind w:left="1520" w:right="439" w:firstLine="329"/>
        <w:spacing w:after="0" w:line="264" w:lineRule="auto"/>
        <w:rPr>
          <w:sz w:val="20"/>
          <w:szCs w:val="20"/>
          <w:color w:val="auto"/>
        </w:rPr>
      </w:pPr>
      <w:r>
        <w:rPr>
          <w:rFonts w:ascii="Times New Roman" w:cs="Times New Roman" w:eastAsia="Times New Roman" w:hAnsi="Times New Roman"/>
          <w:sz w:val="13"/>
          <w:szCs w:val="13"/>
          <w:color w:val="auto"/>
        </w:rPr>
        <w:t>The base prospectus immediately follows this explanatory note. The specific terms of any other securities to be offered pursuant to the base prospectus, other than the securities to be issued and sold pursuant to the equity distribution agreement, will be specified in one or more prospectus supplements to the base prospectus. The equity distribution agreement prospectus immediately follows the base prospectus. The $17,350,000 of common stock that may be offered, issued and sold under the equity distribution agreement prospectus is included in the $100,000,000 of securities that may be offered, issued and sold by us under the base prospectus. Upon termination of the equity distribution agreement with Canaccord Genuity LLC (the “Equity Distribution Agreement”), any portion of the $17,350,000 included in the equity distribution agreement prospectus that is not sold pursuant to the Equity Distribution Agreement will be available for sale in other offerings pursuant to the base prospectus and a corresponding prospectus supplement, and if no shares are sold under the Equity Distribution Agreement, the full $100,000,000 of securities may be sold in other offerings pursuant to the base prospectus and a corresponding prospectus supplement.</w:t>
      </w:r>
    </w:p>
    <w:p>
      <w:pPr>
        <w:sectPr>
          <w:pgSz w:w="11900" w:h="16838" w:orient="portrait"/>
          <w:cols w:equalWidth="0" w:num="1">
            <w:col w:w="10159"/>
          </w:cols>
          <w:pgMar w:left="300" w:top="37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365" w:lineRule="exact"/>
        <w:rPr>
          <w:sz w:val="20"/>
          <w:szCs w:val="20"/>
          <w:color w:val="auto"/>
        </w:rPr>
      </w:pPr>
    </w:p>
    <w:tbl>
      <w:tblPr>
        <w:tblLayout w:type="fixed"/>
        <w:tblInd w:w="1520" w:type="dxa"/>
        <w:tblCellMar>
          <w:top w:w="0" w:type="dxa"/>
          <w:left w:w="0" w:type="dxa"/>
          <w:bottom w:w="0" w:type="dxa"/>
          <w:right w:w="0" w:type="dxa"/>
        </w:tblCellMar>
      </w:tblPr>
      <w:tr>
        <w:trPr>
          <w:trHeight w:val="848"/>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statement filed</w:t>
            </w:r>
          </w:p>
        </w:tc>
        <w:tc>
          <w:tcPr>
            <w:tcW w:w="160" w:type="dxa"/>
            <w:vAlign w:val="bottom"/>
            <w:textDirection w:val="btLr"/>
          </w:tcPr>
          <w:p>
            <w:pPr>
              <w:ind w:left="11"/>
              <w:spacing w:after="0"/>
              <w:rPr>
                <w:sz w:val="20"/>
                <w:szCs w:val="20"/>
                <w:color w:val="auto"/>
              </w:rPr>
            </w:pPr>
            <w:r>
              <w:rPr>
                <w:rFonts w:ascii="Times New Roman" w:cs="Times New Roman" w:eastAsia="Times New Roman" w:hAnsi="Times New Roman"/>
                <w:sz w:val="13"/>
                <w:szCs w:val="13"/>
                <w:b w:val="1"/>
                <w:bCs w:val="1"/>
                <w:color w:val="FF4338"/>
              </w:rPr>
              <w:t>offer to buy</w:t>
            </w:r>
          </w:p>
        </w:tc>
        <w:tc>
          <w:tcPr>
            <w:tcW w:w="140" w:type="dxa"/>
            <w:vAlign w:val="bottom"/>
          </w:tcPr>
          <w:p>
            <w:pPr>
              <w:spacing w:after="0"/>
              <w:rPr>
                <w:sz w:val="24"/>
                <w:szCs w:val="24"/>
                <w:color w:val="auto"/>
              </w:rPr>
            </w:pPr>
          </w:p>
        </w:tc>
      </w:tr>
      <w:tr>
        <w:trPr>
          <w:trHeight w:val="715"/>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registration</w:t>
            </w:r>
          </w:p>
        </w:tc>
        <w:tc>
          <w:tcPr>
            <w:tcW w:w="160" w:type="dxa"/>
            <w:vAlign w:val="bottom"/>
            <w:textDirection w:val="btLr"/>
          </w:tcPr>
          <w:p>
            <w:pPr>
              <w:ind w:left="11"/>
              <w:spacing w:after="0"/>
              <w:rPr>
                <w:sz w:val="20"/>
                <w:szCs w:val="20"/>
                <w:color w:val="auto"/>
              </w:rPr>
            </w:pPr>
            <w:r>
              <w:rPr>
                <w:rFonts w:ascii="Times New Roman" w:cs="Times New Roman" w:eastAsia="Times New Roman" w:hAnsi="Times New Roman"/>
                <w:sz w:val="13"/>
                <w:szCs w:val="13"/>
                <w:b w:val="1"/>
                <w:bCs w:val="1"/>
                <w:color w:val="FF4338"/>
              </w:rPr>
              <w:t>soliciting an</w:t>
            </w:r>
          </w:p>
        </w:tc>
        <w:tc>
          <w:tcPr>
            <w:tcW w:w="140" w:type="dxa"/>
            <w:vAlign w:val="bottom"/>
          </w:tcPr>
          <w:p>
            <w:pPr>
              <w:spacing w:after="0"/>
              <w:rPr>
                <w:sz w:val="24"/>
                <w:szCs w:val="24"/>
                <w:color w:val="auto"/>
              </w:rPr>
            </w:pPr>
          </w:p>
        </w:tc>
      </w:tr>
      <w:tr>
        <w:trPr>
          <w:trHeight w:val="1622"/>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sell these securities until the</w:t>
            </w:r>
          </w:p>
        </w:tc>
        <w:tc>
          <w:tcPr>
            <w:tcW w:w="160" w:type="dxa"/>
            <w:vAlign w:val="bottom"/>
            <w:textDirection w:val="btLr"/>
          </w:tcPr>
          <w:p>
            <w:pPr>
              <w:ind w:left="11"/>
              <w:spacing w:after="0"/>
              <w:rPr>
                <w:sz w:val="20"/>
                <w:szCs w:val="20"/>
                <w:color w:val="auto"/>
              </w:rPr>
            </w:pPr>
            <w:r>
              <w:rPr>
                <w:rFonts w:ascii="Times New Roman" w:cs="Times New Roman" w:eastAsia="Times New Roman" w:hAnsi="Times New Roman"/>
                <w:sz w:val="13"/>
                <w:szCs w:val="13"/>
                <w:b w:val="1"/>
                <w:bCs w:val="1"/>
                <w:color w:val="FF4338"/>
              </w:rPr>
              <w:t>these securities and it is not</w:t>
            </w:r>
          </w:p>
        </w:tc>
        <w:tc>
          <w:tcPr>
            <w:tcW w:w="140" w:type="dxa"/>
            <w:vAlign w:val="bottom"/>
          </w:tcPr>
          <w:p>
            <w:pPr>
              <w:spacing w:after="0"/>
              <w:rPr>
                <w:sz w:val="24"/>
                <w:szCs w:val="24"/>
                <w:color w:val="auto"/>
              </w:rPr>
            </w:pPr>
          </w:p>
        </w:tc>
      </w:tr>
      <w:tr>
        <w:trPr>
          <w:trHeight w:val="3533"/>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prospectus is not complete and may be changed. We may not</w:t>
            </w:r>
          </w:p>
        </w:tc>
        <w:tc>
          <w:tcPr>
            <w:tcW w:w="160" w:type="dxa"/>
            <w:vAlign w:val="bottom"/>
            <w:textDirection w:val="btLr"/>
          </w:tcPr>
          <w:p>
            <w:pPr>
              <w:ind w:left="11"/>
              <w:spacing w:after="0"/>
              <w:rPr>
                <w:sz w:val="20"/>
                <w:szCs w:val="20"/>
                <w:color w:val="auto"/>
              </w:rPr>
            </w:pPr>
            <w:r>
              <w:rPr>
                <w:rFonts w:ascii="Times New Roman" w:cs="Times New Roman" w:eastAsia="Times New Roman" w:hAnsi="Times New Roman"/>
                <w:sz w:val="13"/>
                <w:szCs w:val="13"/>
                <w:b w:val="1"/>
                <w:bCs w:val="1"/>
                <w:color w:val="FF4338"/>
              </w:rPr>
              <w:t>Commission is effective. This prospectus is not an offer to sell</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such offer or sale is not permitted.</w:t>
            </w:r>
          </w:p>
        </w:tc>
      </w:tr>
      <w:tr>
        <w:trPr>
          <w:trHeight w:val="1940"/>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The information contained in this</w:t>
            </w:r>
          </w:p>
        </w:tc>
        <w:tc>
          <w:tcPr>
            <w:tcW w:w="160" w:type="dxa"/>
            <w:vAlign w:val="bottom"/>
            <w:textDirection w:val="btLr"/>
          </w:tcPr>
          <w:p>
            <w:pPr>
              <w:ind w:left="11"/>
              <w:spacing w:after="0"/>
              <w:rPr>
                <w:sz w:val="20"/>
                <w:szCs w:val="20"/>
                <w:color w:val="auto"/>
              </w:rPr>
            </w:pPr>
            <w:r>
              <w:rPr>
                <w:rFonts w:ascii="Times New Roman" w:cs="Times New Roman" w:eastAsia="Times New Roman" w:hAnsi="Times New Roman"/>
                <w:sz w:val="13"/>
                <w:szCs w:val="13"/>
                <w:b w:val="1"/>
                <w:bCs w:val="1"/>
                <w:color w:val="FF4338"/>
              </w:rPr>
              <w:t>with the Securities and Exchange</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these securities in any state where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3"/>
          <w:szCs w:val="13"/>
          <w:b w:val="1"/>
          <w:bCs w:val="1"/>
          <w:color w:val="FF4338"/>
        </w:rPr>
        <w:t>SUBJECT TO COMPLETION, DATED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-564515</wp:posOffset>
            </wp:positionV>
            <wp:extent cx="7205345" cy="31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5345" cy="3175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133985</wp:posOffset>
            </wp:positionV>
            <wp:extent cx="743585" cy="250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3585" cy="25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4"/>
          <w:szCs w:val="24"/>
          <w:b w:val="1"/>
          <w:bCs w:val="1"/>
          <w:color w:val="auto"/>
        </w:rPr>
        <w:t>$100,000,000</w:t>
      </w:r>
    </w:p>
    <w:p>
      <w:pPr>
        <w:spacing w:after="0" w:line="93"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8"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9"/>
          <w:szCs w:val="19"/>
          <w:b w:val="1"/>
          <w:bCs w:val="1"/>
          <w:color w:val="auto"/>
        </w:rPr>
        <w:t>Subscription Rights</w:t>
      </w:r>
    </w:p>
    <w:p>
      <w:pPr>
        <w:spacing w:after="0" w:line="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108585</wp:posOffset>
            </wp:positionV>
            <wp:extent cx="92329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3290" cy="6350"/>
                    </a:xfrm>
                    <a:prstGeom prst="rect">
                      <a:avLst/>
                    </a:prstGeom>
                    <a:noFill/>
                  </pic:spPr>
                </pic:pic>
              </a:graphicData>
            </a:graphic>
          </wp:anchor>
        </w:drawing>
      </w:r>
    </w:p>
    <w:p>
      <w:pPr>
        <w:spacing w:after="0" w:line="230" w:lineRule="exact"/>
        <w:rPr>
          <w:sz w:val="20"/>
          <w:szCs w:val="20"/>
          <w:color w:val="auto"/>
        </w:rPr>
      </w:pPr>
    </w:p>
    <w:p>
      <w:pPr>
        <w:ind w:right="1139"/>
        <w:spacing w:after="0" w:line="298" w:lineRule="auto"/>
        <w:rPr>
          <w:sz w:val="20"/>
          <w:szCs w:val="20"/>
          <w:color w:val="auto"/>
        </w:rPr>
      </w:pPr>
      <w:r>
        <w:rPr>
          <w:rFonts w:ascii="Times New Roman" w:cs="Times New Roman" w:eastAsia="Times New Roman" w:hAnsi="Times New Roman"/>
          <w:sz w:val="13"/>
          <w:szCs w:val="13"/>
          <w:color w:val="auto"/>
        </w:rPr>
        <w:t>We may offer and sell up to $100,000,000 in aggregate initial offering price of the securities identified above from time to time in one or more offerings.</w:t>
      </w:r>
    </w:p>
    <w:p>
      <w:pPr>
        <w:spacing w:after="0" w:line="33" w:lineRule="exact"/>
        <w:rPr>
          <w:sz w:val="20"/>
          <w:szCs w:val="20"/>
          <w:color w:val="auto"/>
        </w:rPr>
      </w:pPr>
    </w:p>
    <w:p>
      <w:pPr>
        <w:ind w:right="1099"/>
        <w:spacing w:after="0" w:line="266" w:lineRule="auto"/>
        <w:rPr>
          <w:sz w:val="20"/>
          <w:szCs w:val="20"/>
          <w:color w:val="auto"/>
        </w:rPr>
      </w:pPr>
      <w:r>
        <w:rPr>
          <w:rFonts w:ascii="Times New Roman" w:cs="Times New Roman" w:eastAsia="Times New Roman" w:hAnsi="Times New Roman"/>
          <w:sz w:val="13"/>
          <w:szCs w:val="13"/>
          <w:color w:val="auto"/>
        </w:rPr>
        <w:t>This prospectus provides you with a general description of the securities we may offer and sell and the general manner in which they may be offered. Each time we offer securities pursuant to this prospectus, we will provide one or more supplements to this prospectus or free writing prospectuses containing specific information about the offering and the terms of the securities being sold. The prospectus supplement or free writing prospectus may also add, update or change information contained in this prospectus with respect to that offering. You should carefully read this prospectus, the applicable prospectus supplement, the information incorporated herein and therein by reference, and any free writing prospectus before you invest in any of our securities.</w:t>
      </w:r>
    </w:p>
    <w:p>
      <w:pPr>
        <w:spacing w:after="0" w:line="217" w:lineRule="exact"/>
        <w:rPr>
          <w:sz w:val="20"/>
          <w:szCs w:val="20"/>
          <w:color w:val="auto"/>
        </w:rPr>
      </w:pPr>
    </w:p>
    <w:p>
      <w:pPr>
        <w:ind w:right="1139"/>
        <w:spacing w:after="0" w:line="267" w:lineRule="auto"/>
        <w:rPr>
          <w:sz w:val="20"/>
          <w:szCs w:val="20"/>
          <w:color w:val="auto"/>
        </w:rPr>
      </w:pPr>
      <w:r>
        <w:rPr>
          <w:rFonts w:ascii="Times New Roman" w:cs="Times New Roman" w:eastAsia="Times New Roman" w:hAnsi="Times New Roman"/>
          <w:sz w:val="13"/>
          <w:szCs w:val="13"/>
          <w:color w:val="auto"/>
        </w:rPr>
        <w:t>We may offer and sell the securities described in this prospectus and any prospectus supplement to or through one or more underwriters, dealers, and agents, or directly to purchasers, or through a combination of these methods. The names of any underwriters, dealers or agents involved in the sale of any of the securities and the terms of the arrangements with them will be set forth in the applicable prospectus supplement or free writing prospectus.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42" w:lineRule="exact"/>
        <w:rPr>
          <w:sz w:val="20"/>
          <w:szCs w:val="20"/>
          <w:color w:val="auto"/>
        </w:rPr>
      </w:pPr>
    </w:p>
    <w:p>
      <w:pPr>
        <w:ind w:right="1099"/>
        <w:spacing w:after="0" w:line="246"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SEE THE SECTION OF THIS PROSPECTUS ENTITLED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6 OF THIS PROSPECTUS AND ANY SIMILAR SECTION CONTAINED IN THE APPLICABLE PROSPECTUS SUPPLEMENT CONCERNING FACTORS YOU SHOULD CONSIDER BEFORE INVESTING IN OUR SECURITIES.</w:t>
      </w:r>
    </w:p>
    <w:p>
      <w:pPr>
        <w:spacing w:after="0" w:line="56" w:lineRule="exact"/>
        <w:rPr>
          <w:sz w:val="20"/>
          <w:szCs w:val="20"/>
          <w:color w:val="auto"/>
        </w:rPr>
      </w:pPr>
    </w:p>
    <w:p>
      <w:pPr>
        <w:ind w:right="1039"/>
        <w:spacing w:after="0" w:line="272" w:lineRule="auto"/>
        <w:rPr>
          <w:sz w:val="20"/>
          <w:szCs w:val="20"/>
          <w:color w:val="auto"/>
        </w:rPr>
      </w:pPr>
      <w:r>
        <w:rPr>
          <w:rFonts w:ascii="Times New Roman" w:cs="Times New Roman" w:eastAsia="Times New Roman" w:hAnsi="Times New Roman"/>
          <w:sz w:val="13"/>
          <w:szCs w:val="13"/>
          <w:color w:val="auto"/>
        </w:rPr>
        <w:t>Our shares of common stock are listed on the Nasdaq Capital Market (“Nasdaq”) under the symbol “PSTV.” On May 27, 2026, the last reported sale price of our shares of common stock on Nasdaq was $6.64 per share. The applicable prospectus supplement will contain information, where applicable, as to any other listing, if any, on Nasdaq or any securities market or other exchange of the securities covered by the applicable prospectus supplement.</w:t>
      </w:r>
    </w:p>
    <w:p>
      <w:pPr>
        <w:spacing w:after="0" w:line="49" w:lineRule="exact"/>
        <w:rPr>
          <w:sz w:val="20"/>
          <w:szCs w:val="20"/>
          <w:color w:val="auto"/>
        </w:rPr>
      </w:pPr>
    </w:p>
    <w:p>
      <w:pPr>
        <w:ind w:right="1079"/>
        <w:spacing w:after="0" w:line="265" w:lineRule="auto"/>
        <w:rPr>
          <w:sz w:val="20"/>
          <w:szCs w:val="20"/>
          <w:color w:val="auto"/>
        </w:rPr>
      </w:pPr>
      <w:r>
        <w:rPr>
          <w:rFonts w:ascii="Times New Roman" w:cs="Times New Roman" w:eastAsia="Times New Roman" w:hAnsi="Times New Roman"/>
          <w:sz w:val="13"/>
          <w:szCs w:val="13"/>
          <w:color w:val="auto"/>
        </w:rPr>
        <w:t>As of May 27, 2026, the aggregate market value of our outstanding common stock held by non-affiliates, or public float, was approximately $52,133,434 based on 6,883,897 shares of outstanding common stock, of which 6,841,658 shares were held by non-affiliates, and a price of $7.62 per share, which was the closing price at which our common stock was last sold on Nasdaq on April 22, 2026. We have offered and sold $0 of our securities pursuant to General Instruction I.B.6 of Form S-3 during the prior 12-calendar-month period that ends on and includes the date of this prospectus. Pursuant to General Instruction I.B.6 of Form S-3, in no event will we sell securities registered on this registration statement in a public primary offering with a value exceeding more than one-third of our public float in any 12-month period so long as our public float remains below $75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107950</wp:posOffset>
            </wp:positionV>
            <wp:extent cx="92329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23290" cy="6350"/>
                    </a:xfrm>
                    <a:prstGeom prst="rect">
                      <a:avLst/>
                    </a:prstGeom>
                    <a:noFill/>
                  </pic:spPr>
                </pic:pic>
              </a:graphicData>
            </a:graphic>
          </wp:anchor>
        </w:drawing>
      </w:r>
    </w:p>
    <w:p>
      <w:pPr>
        <w:spacing w:after="0" w:line="224" w:lineRule="exact"/>
        <w:rPr>
          <w:sz w:val="20"/>
          <w:szCs w:val="20"/>
          <w:color w:val="auto"/>
        </w:rPr>
      </w:pPr>
    </w:p>
    <w:p>
      <w:pPr>
        <w:ind w:right="1239"/>
        <w:spacing w:after="0" w:line="282"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92710</wp:posOffset>
            </wp:positionV>
            <wp:extent cx="92329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3290" cy="6350"/>
                    </a:xfrm>
                    <a:prstGeom prst="rect">
                      <a:avLst/>
                    </a:prstGeom>
                    <a:noFill/>
                  </pic:spPr>
                </pic:pic>
              </a:graphicData>
            </a:graphic>
          </wp:anchor>
        </w:drawing>
      </w:r>
    </w:p>
    <w:p>
      <w:pPr>
        <w:spacing w:after="0" w:line="20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3"/>
          <w:szCs w:val="13"/>
          <w:b w:val="1"/>
          <w:bCs w:val="1"/>
          <w:color w:val="auto"/>
        </w:rPr>
        <w:t>The date of this prospectus is             , 2026</w:t>
      </w:r>
    </w:p>
    <w:p>
      <w:pPr>
        <w:sectPr>
          <w:pgSz w:w="11900" w:h="16838" w:orient="portrait"/>
          <w:cols w:equalWidth="0" w:num="2">
            <w:col w:w="1960" w:space="220"/>
            <w:col w:w="7979"/>
          </w:cols>
          <w:pgMar w:left="300" w:top="37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3"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20" w:type="dxa"/>
            <w:vAlign w:val="bottom"/>
            <w:gridSpan w:val="4"/>
          </w:tcPr>
          <w:p>
            <w:pPr>
              <w:jc w:val="right"/>
              <w:ind w:right="33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0" w:type="dxa"/>
            <w:vAlign w:val="bottom"/>
          </w:tcPr>
          <w:p>
            <w:pPr>
              <w:spacing w:after="0"/>
              <w:rPr>
                <w:sz w:val="1"/>
                <w:szCs w:val="1"/>
                <w:color w:val="auto"/>
              </w:rPr>
            </w:pPr>
          </w:p>
        </w:tc>
      </w:tr>
      <w:tr>
        <w:trPr>
          <w:trHeight w:val="303"/>
        </w:trPr>
        <w:tc>
          <w:tcPr>
            <w:tcW w:w="3400" w:type="dxa"/>
            <w:vAlign w:val="bottom"/>
            <w:gridSpan w:val="18"/>
            <w:vMerge w:val="restart"/>
          </w:tcPr>
          <w:p>
            <w:pPr>
              <w:spacing w:after="0"/>
              <w:rPr>
                <w:sz w:val="20"/>
                <w:szCs w:val="20"/>
                <w:color w:val="auto"/>
              </w:rPr>
            </w:pPr>
            <w:r>
              <w:rPr>
                <w:rFonts w:ascii="Times New Roman" w:cs="Times New Roman" w:eastAsia="Times New Roman" w:hAnsi="Times New Roman"/>
                <w:sz w:val="13"/>
                <w:szCs w:val="13"/>
                <w:color w:val="0000EE"/>
              </w:rPr>
              <w:t>About this Prospectus</w:t>
            </w:r>
          </w:p>
        </w:tc>
        <w:tc>
          <w:tcPr>
            <w:tcW w:w="144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88"/>
              </w:rPr>
              <w:t>Page</w:t>
            </w:r>
          </w:p>
        </w:tc>
        <w:tc>
          <w:tcPr>
            <w:tcW w:w="0" w:type="dxa"/>
            <w:vAlign w:val="bottom"/>
          </w:tcPr>
          <w:p>
            <w:pPr>
              <w:spacing w:after="0"/>
              <w:rPr>
                <w:sz w:val="1"/>
                <w:szCs w:val="1"/>
                <w:color w:val="auto"/>
              </w:rPr>
            </w:pPr>
          </w:p>
        </w:tc>
      </w:tr>
      <w:tr>
        <w:trPr>
          <w:trHeight w:val="121"/>
        </w:trPr>
        <w:tc>
          <w:tcPr>
            <w:tcW w:w="3400" w:type="dxa"/>
            <w:vAlign w:val="bottom"/>
            <w:gridSpan w:val="18"/>
            <w:vMerge w:val="continue"/>
          </w:tcPr>
          <w:p>
            <w:pPr>
              <w:spacing w:after="0"/>
              <w:rPr>
                <w:sz w:val="10"/>
                <w:szCs w:val="10"/>
                <w:color w:val="auto"/>
              </w:rPr>
            </w:pPr>
          </w:p>
        </w:tc>
        <w:tc>
          <w:tcPr>
            <w:tcW w:w="14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0" w:type="dxa"/>
            <w:vAlign w:val="bottom"/>
            <w:tcBorders>
              <w:bottom w:val="single" w:sz="8" w:color="0000EE"/>
            </w:tcBorders>
            <w:gridSpan w:val="10"/>
          </w:tcPr>
          <w:p>
            <w:pPr>
              <w:spacing w:after="0" w:line="142" w:lineRule="exact"/>
              <w:rPr>
                <w:sz w:val="20"/>
                <w:szCs w:val="20"/>
                <w:color w:val="auto"/>
              </w:rPr>
            </w:pPr>
            <w:r>
              <w:rPr>
                <w:rFonts w:ascii="Times New Roman" w:cs="Times New Roman" w:eastAsia="Times New Roman" w:hAnsi="Times New Roman"/>
                <w:sz w:val="13"/>
                <w:szCs w:val="13"/>
                <w:color w:val="0000EE"/>
              </w:rPr>
              <w:t>Forward-Looking Statements</w:t>
            </w:r>
          </w:p>
        </w:tc>
        <w:tc>
          <w:tcPr>
            <w:tcW w:w="1800" w:type="dxa"/>
            <w:vAlign w:val="bottom"/>
            <w:gridSpan w:val="8"/>
          </w:tcPr>
          <w:p>
            <w:pPr>
              <w:spacing w:after="0"/>
              <w:rPr>
                <w:sz w:val="12"/>
                <w:szCs w:val="12"/>
                <w:color w:val="auto"/>
              </w:rPr>
            </w:pPr>
          </w:p>
        </w:tc>
        <w:tc>
          <w:tcPr>
            <w:tcW w:w="482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42"/>
        </w:trPr>
        <w:tc>
          <w:tcPr>
            <w:tcW w:w="3400" w:type="dxa"/>
            <w:vAlign w:val="bottom"/>
            <w:gridSpan w:val="18"/>
          </w:tcPr>
          <w:p>
            <w:pPr>
              <w:spacing w:after="0" w:line="142" w:lineRule="exact"/>
              <w:rPr>
                <w:sz w:val="20"/>
                <w:szCs w:val="20"/>
                <w:color w:val="auto"/>
              </w:rPr>
            </w:pPr>
            <w:r>
              <w:rPr>
                <w:rFonts w:ascii="Times New Roman" w:cs="Times New Roman" w:eastAsia="Times New Roman" w:hAnsi="Times New Roman"/>
                <w:sz w:val="13"/>
                <w:szCs w:val="13"/>
                <w:color w:val="0000EE"/>
              </w:rPr>
              <w:t>Market, Industry and Other Data</w:t>
            </w:r>
          </w:p>
        </w:tc>
        <w:tc>
          <w:tcPr>
            <w:tcW w:w="482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2"/>
        </w:trPr>
        <w:tc>
          <w:tcPr>
            <w:tcW w:w="1760" w:type="dxa"/>
            <w:vAlign w:val="bottom"/>
            <w:tcBorders>
              <w:top w:val="single" w:sz="8" w:color="0000EE"/>
            </w:tcBorders>
            <w:gridSpan w:val="11"/>
          </w:tcPr>
          <w:p>
            <w:pPr>
              <w:spacing w:after="0" w:line="142" w:lineRule="exact"/>
              <w:rPr>
                <w:sz w:val="20"/>
                <w:szCs w:val="20"/>
                <w:color w:val="auto"/>
              </w:rPr>
            </w:pPr>
            <w:r>
              <w:rPr>
                <w:rFonts w:ascii="Times New Roman" w:cs="Times New Roman" w:eastAsia="Times New Roman" w:hAnsi="Times New Roman"/>
                <w:sz w:val="13"/>
                <w:szCs w:val="13"/>
                <w:color w:val="0000EE"/>
              </w:rPr>
              <w:t>Prospectus Summary</w:t>
            </w:r>
          </w:p>
        </w:tc>
        <w:tc>
          <w:tcPr>
            <w:tcW w:w="1640" w:type="dxa"/>
            <w:vAlign w:val="bottom"/>
            <w:gridSpan w:val="7"/>
          </w:tcPr>
          <w:p>
            <w:pPr>
              <w:spacing w:after="0"/>
              <w:rPr>
                <w:sz w:val="12"/>
                <w:szCs w:val="12"/>
                <w:color w:val="auto"/>
              </w:rPr>
            </w:pPr>
          </w:p>
        </w:tc>
        <w:tc>
          <w:tcPr>
            <w:tcW w:w="482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42"/>
        </w:trPr>
        <w:tc>
          <w:tcPr>
            <w:tcW w:w="1180" w:type="dxa"/>
            <w:vAlign w:val="bottom"/>
            <w:tcBorders>
              <w:top w:val="single" w:sz="8" w:color="0000EE"/>
            </w:tcBorders>
            <w:gridSpan w:val="6"/>
          </w:tcPr>
          <w:p>
            <w:pPr>
              <w:spacing w:after="0" w:line="142" w:lineRule="exact"/>
              <w:rPr>
                <w:sz w:val="20"/>
                <w:szCs w:val="20"/>
                <w:color w:val="auto"/>
              </w:rPr>
            </w:pPr>
            <w:r>
              <w:rPr>
                <w:rFonts w:ascii="Times New Roman" w:cs="Times New Roman" w:eastAsia="Times New Roman" w:hAnsi="Times New Roman"/>
                <w:sz w:val="13"/>
                <w:szCs w:val="13"/>
                <w:color w:val="0000EE"/>
              </w:rPr>
              <w:t>Risk Factors</w:t>
            </w:r>
          </w:p>
        </w:tc>
        <w:tc>
          <w:tcPr>
            <w:tcW w:w="2220" w:type="dxa"/>
            <w:vAlign w:val="bottom"/>
            <w:gridSpan w:val="12"/>
          </w:tcPr>
          <w:p>
            <w:pPr>
              <w:spacing w:after="0"/>
              <w:rPr>
                <w:sz w:val="12"/>
                <w:szCs w:val="12"/>
                <w:color w:val="auto"/>
              </w:rPr>
            </w:pPr>
          </w:p>
        </w:tc>
        <w:tc>
          <w:tcPr>
            <w:tcW w:w="482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80" w:type="dxa"/>
            <w:vAlign w:val="bottom"/>
            <w:tcBorders>
              <w:bottom w:val="single" w:sz="8" w:color="0000EE"/>
            </w:tcBorders>
            <w:gridSpan w:val="17"/>
          </w:tcPr>
          <w:p>
            <w:pPr>
              <w:spacing w:after="0" w:line="142" w:lineRule="exact"/>
              <w:rPr>
                <w:sz w:val="20"/>
                <w:szCs w:val="20"/>
                <w:color w:val="auto"/>
              </w:rPr>
            </w:pPr>
            <w:r>
              <w:rPr>
                <w:rFonts w:ascii="Times New Roman" w:cs="Times New Roman" w:eastAsia="Times New Roman" w:hAnsi="Times New Roman"/>
                <w:sz w:val="13"/>
                <w:szCs w:val="13"/>
                <w:color w:val="0000EE"/>
              </w:rPr>
              <w:t>Selected Financial Data Reflecting Reverse Stock Split</w:t>
            </w:r>
          </w:p>
        </w:tc>
        <w:tc>
          <w:tcPr>
            <w:tcW w:w="420" w:type="dxa"/>
            <w:vAlign w:val="bottom"/>
          </w:tcPr>
          <w:p>
            <w:pPr>
              <w:spacing w:after="0"/>
              <w:rPr>
                <w:sz w:val="12"/>
                <w:szCs w:val="12"/>
                <w:color w:val="auto"/>
              </w:rPr>
            </w:pPr>
          </w:p>
        </w:tc>
        <w:tc>
          <w:tcPr>
            <w:tcW w:w="482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2"/>
        </w:trPr>
        <w:tc>
          <w:tcPr>
            <w:tcW w:w="880" w:type="dxa"/>
            <w:vAlign w:val="bottom"/>
            <w:tcBorders>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3"/>
                <w:szCs w:val="13"/>
                <w:color w:val="0000EE"/>
              </w:rPr>
              <w:t>Use of Proceeds</w:t>
            </w:r>
          </w:p>
        </w:tc>
        <w:tc>
          <w:tcPr>
            <w:tcW w:w="2520" w:type="dxa"/>
            <w:vAlign w:val="bottom"/>
            <w:gridSpan w:val="14"/>
          </w:tcPr>
          <w:p>
            <w:pPr>
              <w:spacing w:after="0"/>
              <w:rPr>
                <w:sz w:val="12"/>
                <w:szCs w:val="12"/>
                <w:color w:val="auto"/>
              </w:rPr>
            </w:pPr>
          </w:p>
        </w:tc>
        <w:tc>
          <w:tcPr>
            <w:tcW w:w="482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2"/>
        </w:trPr>
        <w:tc>
          <w:tcPr>
            <w:tcW w:w="1080" w:type="dxa"/>
            <w:vAlign w:val="bottom"/>
            <w:tcBorders>
              <w:bottom w:val="single" w:sz="8" w:color="0000EE"/>
            </w:tcBorders>
            <w:gridSpan w:val="5"/>
          </w:tcPr>
          <w:p>
            <w:pPr>
              <w:spacing w:after="0" w:line="142" w:lineRule="exact"/>
              <w:rPr>
                <w:sz w:val="20"/>
                <w:szCs w:val="20"/>
                <w:color w:val="auto"/>
              </w:rPr>
            </w:pPr>
            <w:r>
              <w:rPr>
                <w:rFonts w:ascii="Times New Roman" w:cs="Times New Roman" w:eastAsia="Times New Roman" w:hAnsi="Times New Roman"/>
                <w:sz w:val="13"/>
                <w:szCs w:val="13"/>
                <w:color w:val="0000EE"/>
              </w:rPr>
              <w:t>Plan of Distribution</w:t>
            </w:r>
          </w:p>
        </w:tc>
        <w:tc>
          <w:tcPr>
            <w:tcW w:w="2320" w:type="dxa"/>
            <w:vAlign w:val="bottom"/>
            <w:gridSpan w:val="13"/>
          </w:tcPr>
          <w:p>
            <w:pPr>
              <w:spacing w:after="0"/>
              <w:rPr>
                <w:sz w:val="12"/>
                <w:szCs w:val="12"/>
                <w:color w:val="auto"/>
              </w:rPr>
            </w:pPr>
          </w:p>
        </w:tc>
        <w:tc>
          <w:tcPr>
            <w:tcW w:w="482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42"/>
        </w:trPr>
        <w:tc>
          <w:tcPr>
            <w:tcW w:w="3400" w:type="dxa"/>
            <w:vAlign w:val="bottom"/>
            <w:gridSpan w:val="18"/>
          </w:tcPr>
          <w:p>
            <w:pPr>
              <w:spacing w:after="0" w:line="142" w:lineRule="exact"/>
              <w:rPr>
                <w:sz w:val="20"/>
                <w:szCs w:val="20"/>
                <w:color w:val="auto"/>
              </w:rPr>
            </w:pPr>
            <w:r>
              <w:rPr>
                <w:rFonts w:ascii="Times New Roman" w:cs="Times New Roman" w:eastAsia="Times New Roman" w:hAnsi="Times New Roman"/>
                <w:sz w:val="13"/>
                <w:szCs w:val="13"/>
                <w:color w:val="0000EE"/>
              </w:rPr>
              <w:t>Description of Our Securities</w:t>
            </w:r>
          </w:p>
        </w:tc>
        <w:tc>
          <w:tcPr>
            <w:tcW w:w="4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40" w:type="dxa"/>
            <w:vAlign w:val="bottom"/>
            <w:tcBorders>
              <w:bottom w:val="single" w:sz="8" w:color="0000EE"/>
            </w:tcBorders>
            <w:gridSpan w:val="15"/>
          </w:tcPr>
          <w:p>
            <w:pPr>
              <w:spacing w:after="0" w:line="142" w:lineRule="exact"/>
              <w:rPr>
                <w:sz w:val="20"/>
                <w:szCs w:val="20"/>
                <w:color w:val="auto"/>
              </w:rPr>
            </w:pPr>
            <w:r>
              <w:rPr>
                <w:rFonts w:ascii="Times New Roman" w:cs="Times New Roman" w:eastAsia="Times New Roman" w:hAnsi="Times New Roman"/>
                <w:sz w:val="13"/>
                <w:szCs w:val="13"/>
                <w:color w:val="0000EE"/>
              </w:rPr>
              <w:t>Description of Our Common Stock</w:t>
            </w:r>
          </w:p>
        </w:tc>
        <w:tc>
          <w:tcPr>
            <w:tcW w:w="1460" w:type="dxa"/>
            <w:vAlign w:val="bottom"/>
            <w:gridSpan w:val="3"/>
          </w:tcPr>
          <w:p>
            <w:pPr>
              <w:spacing w:after="0"/>
              <w:rPr>
                <w:sz w:val="12"/>
                <w:szCs w:val="12"/>
                <w:color w:val="auto"/>
              </w:rPr>
            </w:pPr>
          </w:p>
        </w:tc>
        <w:tc>
          <w:tcPr>
            <w:tcW w:w="4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bottom w:val="single" w:sz="8" w:color="0000EE"/>
            </w:tcBorders>
            <w:gridSpan w:val="14"/>
          </w:tcPr>
          <w:p>
            <w:pPr>
              <w:spacing w:after="0" w:line="142" w:lineRule="exact"/>
              <w:rPr>
                <w:sz w:val="20"/>
                <w:szCs w:val="20"/>
                <w:color w:val="auto"/>
              </w:rPr>
            </w:pPr>
            <w:r>
              <w:rPr>
                <w:rFonts w:ascii="Times New Roman" w:cs="Times New Roman" w:eastAsia="Times New Roman" w:hAnsi="Times New Roman"/>
                <w:sz w:val="13"/>
                <w:szCs w:val="13"/>
                <w:color w:val="0000EE"/>
              </w:rPr>
              <w:t>Description of Our Preferred Stock</w:t>
            </w:r>
          </w:p>
        </w:tc>
        <w:tc>
          <w:tcPr>
            <w:tcW w:w="1480" w:type="dxa"/>
            <w:vAlign w:val="bottom"/>
            <w:gridSpan w:val="4"/>
          </w:tcPr>
          <w:p>
            <w:pPr>
              <w:spacing w:after="0"/>
              <w:rPr>
                <w:sz w:val="12"/>
                <w:szCs w:val="12"/>
                <w:color w:val="auto"/>
              </w:rPr>
            </w:pPr>
          </w:p>
        </w:tc>
        <w:tc>
          <w:tcPr>
            <w:tcW w:w="4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0000EE"/>
            </w:tcBorders>
            <w:gridSpan w:val="9"/>
          </w:tcPr>
          <w:p>
            <w:pPr>
              <w:spacing w:after="0" w:line="142" w:lineRule="exact"/>
              <w:rPr>
                <w:sz w:val="20"/>
                <w:szCs w:val="20"/>
                <w:color w:val="auto"/>
              </w:rPr>
            </w:pPr>
            <w:r>
              <w:rPr>
                <w:rFonts w:ascii="Times New Roman" w:cs="Times New Roman" w:eastAsia="Times New Roman" w:hAnsi="Times New Roman"/>
                <w:sz w:val="13"/>
                <w:szCs w:val="13"/>
                <w:color w:val="0000EE"/>
              </w:rPr>
              <w:t>Description of Our Warrants</w:t>
            </w:r>
          </w:p>
        </w:tc>
        <w:tc>
          <w:tcPr>
            <w:tcW w:w="1820" w:type="dxa"/>
            <w:vAlign w:val="bottom"/>
            <w:gridSpan w:val="9"/>
          </w:tcPr>
          <w:p>
            <w:pPr>
              <w:spacing w:after="0"/>
              <w:rPr>
                <w:sz w:val="12"/>
                <w:szCs w:val="12"/>
                <w:color w:val="auto"/>
              </w:rPr>
            </w:pPr>
          </w:p>
        </w:tc>
        <w:tc>
          <w:tcPr>
            <w:tcW w:w="4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00" w:type="dxa"/>
            <w:vAlign w:val="bottom"/>
            <w:tcBorders>
              <w:bottom w:val="single" w:sz="8" w:color="0000EE"/>
            </w:tcBorders>
            <w:gridSpan w:val="13"/>
          </w:tcPr>
          <w:p>
            <w:pPr>
              <w:spacing w:after="0" w:line="142" w:lineRule="exact"/>
              <w:rPr>
                <w:sz w:val="20"/>
                <w:szCs w:val="20"/>
                <w:color w:val="auto"/>
              </w:rPr>
            </w:pPr>
            <w:r>
              <w:rPr>
                <w:rFonts w:ascii="Times New Roman" w:cs="Times New Roman" w:eastAsia="Times New Roman" w:hAnsi="Times New Roman"/>
                <w:sz w:val="13"/>
                <w:szCs w:val="13"/>
                <w:color w:val="0000EE"/>
              </w:rPr>
              <w:t>Description of Our Debt Securities</w:t>
            </w:r>
          </w:p>
        </w:tc>
        <w:tc>
          <w:tcPr>
            <w:tcW w:w="1500" w:type="dxa"/>
            <w:vAlign w:val="bottom"/>
            <w:gridSpan w:val="5"/>
          </w:tcPr>
          <w:p>
            <w:pPr>
              <w:spacing w:after="0"/>
              <w:rPr>
                <w:sz w:val="12"/>
                <w:szCs w:val="12"/>
                <w:color w:val="auto"/>
              </w:rPr>
            </w:pPr>
          </w:p>
        </w:tc>
        <w:tc>
          <w:tcPr>
            <w:tcW w:w="4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Borders>
              <w:bottom w:val="single" w:sz="8" w:color="0000EE"/>
            </w:tcBorders>
            <w:gridSpan w:val="12"/>
          </w:tcPr>
          <w:p>
            <w:pPr>
              <w:spacing w:after="0" w:line="142" w:lineRule="exact"/>
              <w:rPr>
                <w:sz w:val="20"/>
                <w:szCs w:val="20"/>
                <w:color w:val="auto"/>
              </w:rPr>
            </w:pPr>
            <w:r>
              <w:rPr>
                <w:rFonts w:ascii="Times New Roman" w:cs="Times New Roman" w:eastAsia="Times New Roman" w:hAnsi="Times New Roman"/>
                <w:sz w:val="13"/>
                <w:szCs w:val="13"/>
                <w:color w:val="0000EE"/>
              </w:rPr>
              <w:t>Description of Subscription Rights</w:t>
            </w:r>
          </w:p>
        </w:tc>
        <w:tc>
          <w:tcPr>
            <w:tcW w:w="1520" w:type="dxa"/>
            <w:vAlign w:val="bottom"/>
            <w:gridSpan w:val="6"/>
          </w:tcPr>
          <w:p>
            <w:pPr>
              <w:spacing w:after="0"/>
              <w:rPr>
                <w:sz w:val="12"/>
                <w:szCs w:val="12"/>
                <w:color w:val="auto"/>
              </w:rPr>
            </w:pPr>
          </w:p>
        </w:tc>
        <w:tc>
          <w:tcPr>
            <w:tcW w:w="4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gridSpan w:val="18"/>
          </w:tcPr>
          <w:p>
            <w:pPr>
              <w:spacing w:after="0" w:line="142" w:lineRule="exact"/>
              <w:rPr>
                <w:sz w:val="20"/>
                <w:szCs w:val="20"/>
                <w:color w:val="auto"/>
              </w:rPr>
            </w:pPr>
            <w:r>
              <w:rPr>
                <w:rFonts w:ascii="Times New Roman" w:cs="Times New Roman" w:eastAsia="Times New Roman" w:hAnsi="Times New Roman"/>
                <w:sz w:val="13"/>
                <w:szCs w:val="13"/>
                <w:color w:val="0000EE"/>
              </w:rPr>
              <w:t>Description of Our Units</w:t>
            </w:r>
          </w:p>
        </w:tc>
        <w:tc>
          <w:tcPr>
            <w:tcW w:w="4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gridSpan w:val="18"/>
          </w:tcPr>
          <w:p>
            <w:pPr>
              <w:spacing w:after="0" w:line="142" w:lineRule="exact"/>
              <w:rPr>
                <w:sz w:val="20"/>
                <w:szCs w:val="20"/>
                <w:color w:val="auto"/>
              </w:rPr>
            </w:pPr>
            <w:r>
              <w:rPr>
                <w:rFonts w:ascii="Times New Roman" w:cs="Times New Roman" w:eastAsia="Times New Roman" w:hAnsi="Times New Roman"/>
                <w:sz w:val="13"/>
                <w:szCs w:val="13"/>
                <w:color w:val="0000EE"/>
              </w:rPr>
              <w:t>Where You Can Find More Information</w:t>
            </w:r>
          </w:p>
        </w:tc>
        <w:tc>
          <w:tcPr>
            <w:tcW w:w="4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Borders>
              <w:top w:val="single" w:sz="8" w:color="0000EE"/>
            </w:tcBorders>
            <w:gridSpan w:val="16"/>
          </w:tcPr>
          <w:p>
            <w:pPr>
              <w:spacing w:after="0" w:line="142" w:lineRule="exact"/>
              <w:rPr>
                <w:sz w:val="20"/>
                <w:szCs w:val="20"/>
                <w:color w:val="auto"/>
              </w:rPr>
            </w:pPr>
            <w:r>
              <w:rPr>
                <w:rFonts w:ascii="Times New Roman" w:cs="Times New Roman" w:eastAsia="Times New Roman" w:hAnsi="Times New Roman"/>
                <w:sz w:val="13"/>
                <w:szCs w:val="13"/>
                <w:color w:val="0000EE"/>
              </w:rPr>
              <w:t>Incorporation by Reference</w:t>
            </w:r>
          </w:p>
        </w:tc>
        <w:tc>
          <w:tcPr>
            <w:tcW w:w="1260" w:type="dxa"/>
            <w:vAlign w:val="bottom"/>
            <w:gridSpan w:val="2"/>
          </w:tcPr>
          <w:p>
            <w:pPr>
              <w:spacing w:after="0"/>
              <w:rPr>
                <w:sz w:val="12"/>
                <w:szCs w:val="12"/>
                <w:color w:val="auto"/>
              </w:rPr>
            </w:pPr>
          </w:p>
        </w:tc>
        <w:tc>
          <w:tcPr>
            <w:tcW w:w="4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Borders>
              <w:top w:val="single" w:sz="8" w:color="0000EE"/>
              <w:bottom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3"/>
                <w:szCs w:val="13"/>
                <w:color w:val="0000EE"/>
              </w:rPr>
              <w:t>Legal Matters</w:t>
            </w:r>
          </w:p>
        </w:tc>
        <w:tc>
          <w:tcPr>
            <w:tcW w:w="720" w:type="dxa"/>
            <w:vAlign w:val="bottom"/>
            <w:tcBorders>
              <w:top w:val="single" w:sz="8" w:color="0000EE"/>
            </w:tcBorders>
            <w:gridSpan w:val="5"/>
          </w:tcPr>
          <w:p>
            <w:pPr>
              <w:spacing w:after="0"/>
              <w:rPr>
                <w:sz w:val="12"/>
                <w:szCs w:val="12"/>
                <w:color w:val="auto"/>
              </w:rPr>
            </w:pPr>
          </w:p>
        </w:tc>
        <w:tc>
          <w:tcPr>
            <w:tcW w:w="1920" w:type="dxa"/>
            <w:vAlign w:val="bottom"/>
            <w:gridSpan w:val="10"/>
          </w:tcPr>
          <w:p>
            <w:pPr>
              <w:spacing w:after="0"/>
              <w:rPr>
                <w:sz w:val="12"/>
                <w:szCs w:val="12"/>
                <w:color w:val="auto"/>
              </w:rPr>
            </w:pPr>
          </w:p>
        </w:tc>
        <w:tc>
          <w:tcPr>
            <w:tcW w:w="4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Borders>
              <w:bottom w:val="single" w:sz="8" w:color="0000EE"/>
            </w:tcBorders>
          </w:tcPr>
          <w:p>
            <w:pPr>
              <w:spacing w:after="0" w:line="142" w:lineRule="exact"/>
              <w:rPr>
                <w:sz w:val="20"/>
                <w:szCs w:val="20"/>
                <w:color w:val="auto"/>
              </w:rPr>
            </w:pPr>
            <w:r>
              <w:rPr>
                <w:rFonts w:ascii="Times New Roman" w:cs="Times New Roman" w:eastAsia="Times New Roman" w:hAnsi="Times New Roman"/>
                <w:sz w:val="13"/>
                <w:szCs w:val="13"/>
                <w:color w:val="0000EE"/>
              </w:rPr>
              <w:t>Experts</w:t>
            </w:r>
          </w:p>
        </w:tc>
        <w:tc>
          <w:tcPr>
            <w:tcW w:w="2980" w:type="dxa"/>
            <w:vAlign w:val="bottom"/>
            <w:gridSpan w:val="17"/>
          </w:tcPr>
          <w:p>
            <w:pPr>
              <w:spacing w:after="0"/>
              <w:rPr>
                <w:sz w:val="12"/>
                <w:szCs w:val="12"/>
                <w:color w:val="auto"/>
              </w:rPr>
            </w:pPr>
          </w:p>
        </w:tc>
        <w:tc>
          <w:tcPr>
            <w:tcW w:w="4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78" w:lineRule="exact"/>
        <w:rPr>
          <w:sz w:val="20"/>
          <w:szCs w:val="20"/>
          <w:color w:val="auto"/>
        </w:rPr>
      </w:pPr>
    </w:p>
    <w:p>
      <w:pPr>
        <w:ind w:left="1520" w:right="399"/>
        <w:spacing w:after="0" w:line="278" w:lineRule="auto"/>
        <w:rPr>
          <w:sz w:val="20"/>
          <w:szCs w:val="20"/>
          <w:color w:val="auto"/>
        </w:rPr>
      </w:pPr>
      <w:r>
        <w:rPr>
          <w:rFonts w:ascii="Times New Roman" w:cs="Times New Roman" w:eastAsia="Times New Roman" w:hAnsi="Times New Roman"/>
          <w:sz w:val="13"/>
          <w:szCs w:val="13"/>
          <w:color w:val="auto"/>
        </w:rPr>
        <w:t>This prospectus is a part of a registration statement on Form S-3 that we filed with the Securities and Exchange Commission, or the SEC, using a “shelf” registration process. Under this shelf registration process, we may offer to sell any of the securities, or any combination of the securities, described in this prospectus, in each case in one or more offerings, up to a total dollar amount of $100,000,000.</w:t>
      </w:r>
    </w:p>
    <w:p>
      <w:pPr>
        <w:spacing w:after="0" w:line="127" w:lineRule="exact"/>
        <w:rPr>
          <w:sz w:val="20"/>
          <w:szCs w:val="20"/>
          <w:color w:val="auto"/>
        </w:rPr>
      </w:pPr>
    </w:p>
    <w:p>
      <w:pPr>
        <w:ind w:left="1520" w:right="419"/>
        <w:spacing w:after="0" w:line="266" w:lineRule="auto"/>
        <w:rPr>
          <w:sz w:val="20"/>
          <w:szCs w:val="20"/>
          <w:color w:val="auto"/>
        </w:rPr>
      </w:pPr>
      <w:r>
        <w:rPr>
          <w:rFonts w:ascii="Times New Roman" w:cs="Times New Roman" w:eastAsia="Times New Roman" w:hAnsi="Times New Roman"/>
          <w:sz w:val="13"/>
          <w:szCs w:val="13"/>
          <w:color w:val="auto"/>
        </w:rPr>
        <w:t>This prospectus provides you only with a general description of the securities that we may offer. Each time securities are sold under this shelf registration statement, we will provide an accompanying prospectus supplement that will contain specific information about the terms of those securities and the terms of that offering. The accompanying prospectus supplement may also add, update or change information contained in this prospectus. If there is any inconsistency between the information in this prospectus and any accompanying prospectus supplement, you should rely on the information in the accompanying prospectus supplement. You should read both this prospectus and any accompanying prospectus supplement, including all documents incorporated by reference herein and therein, together with the additional information described under “Where You Can Find More Information” below.</w:t>
      </w:r>
    </w:p>
    <w:p>
      <w:pPr>
        <w:spacing w:after="0" w:line="298" w:lineRule="exact"/>
        <w:rPr>
          <w:sz w:val="20"/>
          <w:szCs w:val="20"/>
          <w:color w:val="auto"/>
        </w:rPr>
      </w:pPr>
    </w:p>
    <w:p>
      <w:pPr>
        <w:jc w:val="both"/>
        <w:ind w:left="1520" w:right="499"/>
        <w:spacing w:after="0" w:line="278" w:lineRule="auto"/>
        <w:rPr>
          <w:sz w:val="20"/>
          <w:szCs w:val="20"/>
          <w:color w:val="auto"/>
        </w:rPr>
      </w:pPr>
      <w:r>
        <w:rPr>
          <w:rFonts w:ascii="Times New Roman" w:cs="Times New Roman" w:eastAsia="Times New Roman" w:hAnsi="Times New Roman"/>
          <w:sz w:val="13"/>
          <w:szCs w:val="13"/>
          <w:color w:val="auto"/>
        </w:rPr>
        <w:t>The information contained in this prospectus is not complete and may be changed. You should rely only on the information provided in or incorporated by reference in this prospectus or in any accompanying prospectus supplement, or documents to which we otherwise refer you. We have not authorized anyone else to provide you with different information.</w:t>
      </w:r>
    </w:p>
    <w:p>
      <w:pPr>
        <w:spacing w:after="0" w:line="123" w:lineRule="exact"/>
        <w:rPr>
          <w:sz w:val="20"/>
          <w:szCs w:val="20"/>
          <w:color w:val="auto"/>
        </w:rPr>
      </w:pPr>
    </w:p>
    <w:p>
      <w:pPr>
        <w:ind w:left="1520" w:right="459"/>
        <w:spacing w:after="0" w:line="264" w:lineRule="auto"/>
        <w:rPr>
          <w:sz w:val="20"/>
          <w:szCs w:val="20"/>
          <w:color w:val="auto"/>
        </w:rPr>
      </w:pPr>
      <w:r>
        <w:rPr>
          <w:rFonts w:ascii="Times New Roman" w:cs="Times New Roman" w:eastAsia="Times New Roman" w:hAnsi="Times New Roman"/>
          <w:sz w:val="13"/>
          <w:szCs w:val="13"/>
          <w:b w:val="1"/>
          <w:bCs w:val="1"/>
          <w:color w:val="auto"/>
        </w:rPr>
        <w:t>We have not authorized any dealer, agent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if any,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such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136" w:lineRule="exact"/>
        <w:rPr>
          <w:sz w:val="20"/>
          <w:szCs w:val="20"/>
          <w:color w:val="auto"/>
        </w:rPr>
      </w:pPr>
    </w:p>
    <w:p>
      <w:pPr>
        <w:ind w:left="1520" w:right="619"/>
        <w:spacing w:after="0" w:line="298" w:lineRule="auto"/>
        <w:rPr>
          <w:sz w:val="20"/>
          <w:szCs w:val="20"/>
          <w:color w:val="auto"/>
        </w:rPr>
      </w:pPr>
      <w:r>
        <w:rPr>
          <w:rFonts w:ascii="Times New Roman" w:cs="Times New Roman" w:eastAsia="Times New Roman" w:hAnsi="Times New Roman"/>
          <w:sz w:val="13"/>
          <w:szCs w:val="13"/>
          <w:color w:val="auto"/>
        </w:rPr>
        <w:t>References in this prospectus to the terms “the Company,” “Plus Therapeutics,” “we,” “our” and “us” or other similar terms mean Plus Therapeutics, Inc. and our wholly owned subsidiary, unless we state otherwise or the context indicates otherwise.</w:t>
      </w:r>
    </w:p>
    <w:p>
      <w:pPr>
        <w:spacing w:after="0" w:line="113" w:lineRule="exact"/>
        <w:rPr>
          <w:sz w:val="20"/>
          <w:szCs w:val="20"/>
          <w:color w:val="auto"/>
        </w:rPr>
      </w:pPr>
    </w:p>
    <w:p>
      <w:pPr>
        <w:jc w:val="both"/>
        <w:ind w:left="1520" w:right="439"/>
        <w:spacing w:after="0" w:line="278" w:lineRule="auto"/>
        <w:rPr>
          <w:sz w:val="20"/>
          <w:szCs w:val="20"/>
          <w:color w:val="auto"/>
        </w:rPr>
      </w:pPr>
      <w:r>
        <w:rPr>
          <w:rFonts w:ascii="Times New Roman" w:cs="Times New Roman" w:eastAsia="Times New Roman" w:hAnsi="Times New Roman"/>
          <w:sz w:val="13"/>
          <w:szCs w:val="13"/>
          <w:color w:val="auto"/>
        </w:rPr>
        <w:t>Unless otherwise indicated, all share amounts and share prices disclosed herein are presented on a post-split basis, giving effect to the reverse stock split of all of the outstanding shares of our common stock on April 2, 2026. Any financial statements incorporated by reference into this prospectus that were filed prior to such reverse stock split present the outstanding shares on a pre-split basis.</w:t>
      </w:r>
    </w:p>
    <w:p>
      <w:pPr>
        <w:spacing w:after="0" w:line="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0159"/>
          </w:cols>
          <w:pgMar w:left="300" w:top="37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78" w:lineRule="exact"/>
        <w:rPr>
          <w:sz w:val="20"/>
          <w:szCs w:val="20"/>
          <w:color w:val="auto"/>
        </w:rPr>
      </w:pPr>
    </w:p>
    <w:p>
      <w:pPr>
        <w:ind w:left="1520" w:right="419"/>
        <w:spacing w:after="0" w:line="265" w:lineRule="auto"/>
        <w:rPr>
          <w:sz w:val="20"/>
          <w:szCs w:val="20"/>
          <w:color w:val="auto"/>
        </w:rPr>
      </w:pPr>
      <w:r>
        <w:rPr>
          <w:rFonts w:ascii="Times New Roman" w:cs="Times New Roman" w:eastAsia="Times New Roman" w:hAnsi="Times New Roman"/>
          <w:sz w:val="13"/>
          <w:szCs w:val="13"/>
          <w:color w:val="auto"/>
        </w:rPr>
        <w:t>This prospectus and the documents incorporated by reference herein contain, and any prospectus supplement and the documents incorporated therein, may contain forward-looking statements that involve substantial risks and uncertainties. All statements, other than statements of historical facts, included in this prospectus, any prospectus supplement or the documents incorporated herein and therein by reference, including statements regarding our future financial condition, results of operations, business strategy and plans and objectives of management for future operations, industry trends and other future events, are forward-looking statements. In some cases, you can identify forward-looking statements by terminology such as “believe,” “will,” “may,” “estimate,” “continue,” “anticipate,” “intend,” “should,” “plan,” “expect,” “predict,” “project,” “could,” “potentially,” “continue,” “ongoing,” “scheduled” or the negative of these terms or other similar expressions, although not all forward-looking statements contain these identifying terms.</w:t>
      </w:r>
    </w:p>
    <w:p>
      <w:pPr>
        <w:spacing w:after="0" w:line="298" w:lineRule="exact"/>
        <w:rPr>
          <w:sz w:val="20"/>
          <w:szCs w:val="20"/>
          <w:color w:val="auto"/>
        </w:rPr>
      </w:pPr>
    </w:p>
    <w:p>
      <w:pPr>
        <w:ind w:left="1520" w:right="439"/>
        <w:spacing w:after="0" w:line="262" w:lineRule="auto"/>
        <w:rPr>
          <w:sz w:val="20"/>
          <w:szCs w:val="20"/>
          <w:color w:val="auto"/>
        </w:rPr>
      </w:pPr>
      <w:r>
        <w:rPr>
          <w:rFonts w:ascii="Times New Roman" w:cs="Times New Roman" w:eastAsia="Times New Roman" w:hAnsi="Times New Roman"/>
          <w:sz w:val="13"/>
          <w:szCs w:val="13"/>
          <w:color w:val="auto"/>
        </w:rPr>
        <w:t>These statements include, without limitation, statements regarding: our anticipated expenditures, including research and development, and general and administrative expenses; our strategic collaborations and license agreements, intellectual property, FDA and EMA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future development and/or expansion of our product candidates and therapies in our markets; sources of competition for any of our product candidates; our ability to generate product or development revenues and the sources of such revenue; our ability to effectively manage our gross profit margins; our ability to obtain and maintain regulatory approvals; expectations as to our future performance; portions of the “Liquidity and Capital Resources” section of our annual and quarterly reports filed with the SEC; our need for additional financing and the availability thereof; our ability to continue as a going concern; our ability to remain listed on the Nasdaq Capital Market; our ability to repay or refinance some or all of our outstanding indebtedness and our ability to raise capital in the future; our ability to transfer the drug product manufacture to a contract drug manufacturing organization; and the potential enhancement of our cash position through development, marketing, and licensing arrangements.</w:t>
      </w:r>
    </w:p>
    <w:p>
      <w:pPr>
        <w:spacing w:after="0" w:line="138" w:lineRule="exact"/>
        <w:rPr>
          <w:sz w:val="20"/>
          <w:szCs w:val="20"/>
          <w:color w:val="auto"/>
        </w:rPr>
      </w:pPr>
    </w:p>
    <w:p>
      <w:pPr>
        <w:ind w:left="1520" w:right="479"/>
        <w:spacing w:after="0" w:line="264" w:lineRule="auto"/>
        <w:rPr>
          <w:sz w:val="20"/>
          <w:szCs w:val="20"/>
          <w:color w:val="auto"/>
        </w:rPr>
      </w:pPr>
      <w:r>
        <w:rPr>
          <w:rFonts w:ascii="Times New Roman" w:cs="Times New Roman" w:eastAsia="Times New Roman" w:hAnsi="Times New Roman"/>
          <w:sz w:val="13"/>
          <w:szCs w:val="13"/>
          <w:color w:val="auto"/>
        </w:rPr>
        <w:t>We have based these forward-looking statements largely on our current expectations and projections about future events and financial trends that we believe may affect our business, financial condition and results of operations. We cannot guarantee that the results and other expectations expressed, anticipated or implied in any forward-looking statement will be realized. The risks set forth under Item 1A of our Annual Report on Form 10-K for the fiscal year ended December 31, 2025, as revised or supplemented by our Quarterly Reports on Form 10-Q and other documents we file with the SEC, describe material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135" w:lineRule="exact"/>
        <w:rPr>
          <w:sz w:val="20"/>
          <w:szCs w:val="20"/>
          <w:color w:val="auto"/>
        </w:rPr>
      </w:pPr>
    </w:p>
    <w:p>
      <w:pPr>
        <w:ind w:left="1520" w:right="419"/>
        <w:spacing w:after="0" w:line="272" w:lineRule="auto"/>
        <w:rPr>
          <w:sz w:val="20"/>
          <w:szCs w:val="20"/>
          <w:color w:val="auto"/>
        </w:rPr>
      </w:pPr>
      <w:r>
        <w:rPr>
          <w:rFonts w:ascii="Times New Roman" w:cs="Times New Roman" w:eastAsia="Times New Roman" w:hAnsi="Times New Roman"/>
          <w:sz w:val="13"/>
          <w:szCs w:val="13"/>
          <w:color w:val="auto"/>
        </w:rPr>
        <w:t>You should read this prospectus, any prospectus supplement and the documents that we incorporate by reference herein and therein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0159"/>
          </w:cols>
          <w:pgMar w:left="300" w:top="37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3"/>
          <w:szCs w:val="13"/>
          <w:b w:val="1"/>
          <w:bCs w:val="1"/>
          <w:color w:val="auto"/>
        </w:rPr>
        <w:t>MARKET, INDUSTRY AND OTHER DATA</w:t>
      </w:r>
    </w:p>
    <w:p>
      <w:pPr>
        <w:spacing w:after="0" w:line="178" w:lineRule="exact"/>
        <w:rPr>
          <w:sz w:val="20"/>
          <w:szCs w:val="20"/>
          <w:color w:val="auto"/>
        </w:rPr>
      </w:pPr>
    </w:p>
    <w:p>
      <w:pPr>
        <w:ind w:left="1520" w:right="459"/>
        <w:spacing w:after="0" w:line="265" w:lineRule="auto"/>
        <w:rPr>
          <w:sz w:val="20"/>
          <w:szCs w:val="20"/>
          <w:color w:val="auto"/>
        </w:rPr>
      </w:pPr>
      <w:r>
        <w:rPr>
          <w:rFonts w:ascii="Times New Roman" w:cs="Times New Roman" w:eastAsia="Times New Roman" w:hAnsi="Times New Roman"/>
          <w:sz w:val="13"/>
          <w:szCs w:val="13"/>
          <w:color w:val="auto"/>
        </w:rPr>
        <w:t>This prospectus and any applicable prospectus supplement and the documents incorporated by reference herein and therein contain estimates, projections, market research and other information concerning, among other things, our industry, our business, and markets for our product candidates. Unless otherwise expressly stated, we obtain this information from reports, research surveys, studies and similar data prepared by market research firms and other third parties, industry, medical and general publications, government data and similar sources as well as from our own internal estimates and research and from publications, research, surveys and studies conducted by third parties on our behalf. Information that is based on estimates, projections, market research or similar methodologies is inherently subject to uncertainties and actual events or circumstances may differ materially from events and circumstances that are reflected in this information. As a result, you are cautioned not to give undue weight to such information.</w:t>
      </w:r>
    </w:p>
    <w:p>
      <w:pPr>
        <w:spacing w:after="0" w:line="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0159"/>
          </w:cols>
          <w:pgMar w:left="300" w:top="37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162560</wp:posOffset>
            </wp:positionV>
            <wp:extent cx="5237480" cy="4486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37480" cy="4486910"/>
                    </a:xfrm>
                    <a:prstGeom prst="rect">
                      <a:avLst/>
                    </a:prstGeom>
                    <a:noFill/>
                  </pic:spPr>
                </pic:pic>
              </a:graphicData>
            </a:graphic>
          </wp:anchor>
        </w:drawing>
      </w:r>
    </w:p>
    <w:p>
      <w:pPr>
        <w:spacing w:after="0" w:line="3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PROSPECTUS SUMMARY</w:t>
      </w:r>
    </w:p>
    <w:p>
      <w:pPr>
        <w:spacing w:after="0" w:line="176" w:lineRule="exact"/>
        <w:rPr>
          <w:sz w:val="20"/>
          <w:szCs w:val="20"/>
          <w:color w:val="auto"/>
        </w:rPr>
      </w:pPr>
    </w:p>
    <w:p>
      <w:pPr>
        <w:ind w:left="1660" w:right="579"/>
        <w:spacing w:after="0" w:line="267" w:lineRule="auto"/>
        <w:rPr>
          <w:sz w:val="20"/>
          <w:szCs w:val="20"/>
          <w:color w:val="auto"/>
        </w:rPr>
      </w:pPr>
      <w:r>
        <w:rPr>
          <w:rFonts w:ascii="Times New Roman" w:cs="Times New Roman" w:eastAsia="Times New Roman" w:hAnsi="Times New Roman"/>
          <w:sz w:val="13"/>
          <w:szCs w:val="13"/>
          <w:i w:val="1"/>
          <w:iCs w:val="1"/>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1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97" w:lineRule="exact"/>
        <w:rPr>
          <w:sz w:val="20"/>
          <w:szCs w:val="20"/>
          <w:color w:val="auto"/>
        </w:rPr>
      </w:pPr>
    </w:p>
    <w:p>
      <w:pPr>
        <w:ind w:left="1660" w:right="579" w:firstLine="318"/>
        <w:spacing w:after="0"/>
        <w:rPr>
          <w:sz w:val="20"/>
          <w:szCs w:val="20"/>
          <w:color w:val="auto"/>
        </w:rPr>
      </w:pPr>
      <w:r>
        <w:rPr>
          <w:rFonts w:ascii="Times New Roman" w:cs="Times New Roman" w:eastAsia="Times New Roman" w:hAnsi="Times New Roman"/>
          <w:sz w:val="13"/>
          <w:szCs w:val="13"/>
          <w:color w:val="auto"/>
        </w:rPr>
        <w:t>Plus Therapeutics is a U.S. healthcare company developing and commercializing precision diagnostics and targeted radiopharmaceuticals for central nervous system (“CNS”) cancers. CNSide Diagnostics, LLC (“CNSide Diagnostics”) is our wholly owned subsidiary that develops and commercializes proprietary laboratory-developed tests, such as CNSide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designed to identify tumor cells that have metastasized to the central nervous system in patients with carcinomas and melanomas. In radiopharmaceuticals, our lead candidate, rhenium (</w:t>
      </w:r>
      <w:r>
        <w:rPr>
          <w:rFonts w:ascii="Times New Roman" w:cs="Times New Roman" w:eastAsia="Times New Roman" w:hAnsi="Times New Roman"/>
          <w:sz w:val="20"/>
          <w:szCs w:val="20"/>
          <w:color w:val="auto"/>
          <w:vertAlign w:val="superscript"/>
        </w:rPr>
        <w:t>186</w:t>
      </w:r>
      <w:r>
        <w:rPr>
          <w:rFonts w:ascii="Times New Roman" w:cs="Times New Roman" w:eastAsia="Times New Roman" w:hAnsi="Times New Roman"/>
          <w:sz w:val="13"/>
          <w:szCs w:val="13"/>
          <w:color w:val="auto"/>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cs="Times New Roman" w:eastAsia="Times New Roman" w:hAnsi="Times New Roman"/>
          <w:sz w:val="20"/>
          <w:szCs w:val="20"/>
          <w:color w:val="auto"/>
          <w:vertAlign w:val="superscript"/>
        </w:rPr>
        <w:t>188</w:t>
      </w:r>
      <w:r>
        <w:rPr>
          <w:rFonts w:ascii="Times New Roman" w:cs="Times New Roman" w:eastAsia="Times New Roman" w:hAnsi="Times New Roman"/>
          <w:sz w:val="13"/>
          <w:szCs w:val="13"/>
          <w:color w:val="auto"/>
        </w:rPr>
        <w:t>RNL-BAM”) is designed to treat many solid organ cancers including primary and secondary liver cancers by intra-arterial injection.</w:t>
      </w:r>
    </w:p>
    <w:p>
      <w:pPr>
        <w:spacing w:after="0" w:line="178" w:lineRule="exact"/>
        <w:rPr>
          <w:sz w:val="20"/>
          <w:szCs w:val="20"/>
          <w:color w:val="auto"/>
        </w:rPr>
      </w:pPr>
    </w:p>
    <w:p>
      <w:pPr>
        <w:ind w:left="1660" w:right="619" w:firstLine="318"/>
        <w:spacing w:after="0" w:line="278" w:lineRule="auto"/>
        <w:rPr>
          <w:sz w:val="20"/>
          <w:szCs w:val="20"/>
          <w:color w:val="auto"/>
        </w:rPr>
      </w:pPr>
      <w:r>
        <w:rPr>
          <w:rFonts w:ascii="Times New Roman" w:cs="Times New Roman" w:eastAsia="Times New Roman" w:hAnsi="Times New Roman"/>
          <w:sz w:val="13"/>
          <w:szCs w:val="13"/>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127" w:lineRule="exact"/>
        <w:rPr>
          <w:sz w:val="20"/>
          <w:szCs w:val="20"/>
          <w:color w:val="auto"/>
        </w:rPr>
      </w:pPr>
    </w:p>
    <w:p>
      <w:pPr>
        <w:ind w:left="1660" w:right="539" w:firstLine="318"/>
        <w:spacing w:after="0" w:line="267" w:lineRule="auto"/>
        <w:rPr>
          <w:sz w:val="20"/>
          <w:szCs w:val="20"/>
          <w:color w:val="auto"/>
        </w:rPr>
      </w:pPr>
      <w:r>
        <w:rPr>
          <w:rFonts w:ascii="Times New Roman" w:cs="Times New Roman" w:eastAsia="Times New Roman" w:hAnsi="Times New Roman"/>
          <w:sz w:val="13"/>
          <w:szCs w:val="13"/>
          <w:color w:val="auto"/>
        </w:rPr>
        <w:t>Our novel radioactive drug formulations, medical devices and therapeutic candidates have the potential to overcome these disadvantages as they are designed to deliver safe and effective doses of radiation at the tumors-potentially in a single treatment. To achieve this, we have developed innovative approaches to drug formulation, including encapsulating radionuclides such as rhenium isotopes with nanoliposomes and microspheres. Our formulations are intended to achieve elevated patient-absorbed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133" w:lineRule="exact"/>
        <w:rPr>
          <w:sz w:val="20"/>
          <w:szCs w:val="20"/>
          <w:color w:val="auto"/>
        </w:rPr>
      </w:pPr>
    </w:p>
    <w:p>
      <w:pPr>
        <w:ind w:left="1660" w:right="559" w:firstLine="318"/>
        <w:spacing w:after="0" w:line="272" w:lineRule="auto"/>
        <w:rPr>
          <w:sz w:val="20"/>
          <w:szCs w:val="20"/>
          <w:color w:val="auto"/>
        </w:rPr>
      </w:pPr>
      <w:r>
        <w:rPr>
          <w:rFonts w:ascii="Times New Roman" w:cs="Times New Roman" w:eastAsia="Times New Roman" w:hAnsi="Times New Roman"/>
          <w:sz w:val="13"/>
          <w:szCs w:val="13"/>
          <w:color w:val="auto"/>
        </w:rPr>
        <w:t>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neurosurgery, nuclear medicine, interventional radiology, neuro-oncology, and radiation oncology, affords us the opportunity to target a broad variety of cancer types.</w:t>
      </w:r>
    </w:p>
    <w:p>
      <w:pPr>
        <w:spacing w:after="0" w:line="130" w:lineRule="exact"/>
        <w:rPr>
          <w:sz w:val="20"/>
          <w:szCs w:val="20"/>
          <w:color w:val="auto"/>
        </w:rPr>
      </w:pPr>
    </w:p>
    <w:p>
      <w:pPr>
        <w:ind w:left="1660" w:right="619" w:firstLine="318"/>
        <w:spacing w:after="0" w:line="269" w:lineRule="auto"/>
        <w:rPr>
          <w:sz w:val="20"/>
          <w:szCs w:val="20"/>
          <w:color w:val="auto"/>
        </w:rPr>
      </w:pPr>
      <w:r>
        <w:rPr>
          <w:rFonts w:ascii="Times New Roman" w:cs="Times New Roman" w:eastAsia="Times New Roman" w:hAnsi="Times New Roman"/>
          <w:sz w:val="13"/>
          <w:szCs w:val="13"/>
          <w:color w:val="auto"/>
        </w:rPr>
        <w:t>The CNSide Cerebrospinal Fluid Assay is currently being utilized in the ReSPECT-LM clinical trial funded by the Cancer Prevention and Research Institute of Texas (“CPRIT”). In connection with our business plan for developing the CNSide Platform, we formed CNSide Diagnostics and our board of directors appointed a board of managers for CNSide Diagnostics. We re-introduced the CNSide Cerebrospinal Fluid Tumor Cell Enumeration test (the “CNSide Test”), which is a laboratory developed test (“LDT”) in August 2025. The laboratory for the CNSide Test in Houston, Texas has received a certificate of accreditation from the Centers for Medicare &amp;</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0159"/>
          </w:cols>
          <w:pgMar w:left="300" w:top="37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162560</wp:posOffset>
            </wp:positionV>
            <wp:extent cx="5237480" cy="1615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37480" cy="1615440"/>
                    </a:xfrm>
                    <a:prstGeom prst="rect">
                      <a:avLst/>
                    </a:prstGeom>
                    <a:noFill/>
                  </pic:spPr>
                </pic:pic>
              </a:graphicData>
            </a:graphic>
          </wp:anchor>
        </w:drawing>
      </w:r>
    </w:p>
    <w:p>
      <w:pPr>
        <w:spacing w:after="0" w:line="359" w:lineRule="exact"/>
        <w:rPr>
          <w:sz w:val="20"/>
          <w:szCs w:val="20"/>
          <w:color w:val="auto"/>
        </w:rPr>
      </w:pPr>
    </w:p>
    <w:p>
      <w:pPr>
        <w:ind w:left="1660" w:right="919"/>
        <w:spacing w:after="0" w:line="278" w:lineRule="auto"/>
        <w:rPr>
          <w:sz w:val="20"/>
          <w:szCs w:val="20"/>
          <w:color w:val="auto"/>
        </w:rPr>
      </w:pPr>
      <w:r>
        <w:rPr>
          <w:rFonts w:ascii="Times New Roman" w:cs="Times New Roman" w:eastAsia="Times New Roman" w:hAnsi="Times New Roman"/>
          <w:sz w:val="13"/>
          <w:szCs w:val="13"/>
          <w:color w:val="auto"/>
        </w:rPr>
        <w:t>Medicaid Services (“CMS”) which deems the lab compliant with Clinical Laboratory Improvement Amendments (“CLIA”) regulations. Furthermore, CNSide Diagnostics has signed national agreements to provide the CNSide Test with four payers, including United Healthcare, Humana, Highmark, and Blue Shield of California, expanding patient access nationwide to approximately 81 million.</w:t>
      </w:r>
    </w:p>
    <w:p>
      <w:pPr>
        <w:spacing w:after="0" w:line="20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Corporate Information</w:t>
      </w:r>
    </w:p>
    <w:p>
      <w:pPr>
        <w:spacing w:after="0" w:line="97" w:lineRule="exact"/>
        <w:rPr>
          <w:sz w:val="20"/>
          <w:szCs w:val="20"/>
          <w:color w:val="auto"/>
        </w:rPr>
      </w:pPr>
    </w:p>
    <w:p>
      <w:pPr>
        <w:ind w:left="1660" w:right="599" w:firstLine="318"/>
        <w:spacing w:after="0" w:line="265" w:lineRule="auto"/>
        <w:rPr>
          <w:sz w:val="20"/>
          <w:szCs w:val="20"/>
          <w:color w:val="auto"/>
        </w:rPr>
      </w:pPr>
      <w:r>
        <w:rPr>
          <w:rFonts w:ascii="Times New Roman" w:cs="Times New Roman" w:eastAsia="Times New Roman" w:hAnsi="Times New Roman"/>
          <w:sz w:val="13"/>
          <w:szCs w:val="13"/>
          <w:color w:val="auto"/>
        </w:rPr>
        <w:t>In March 2025, we moved our headquarters to Houston, Texas, in proximity to world-class cancer institutions and researchers. Our principal executive offices are located at 6420 Levit Green Boulevard, Suite 310, Houston, Texas 77021, and our telephone number is (737) 255-7194. We maintain a website at www.plustherapeutics.com. We make available free of charge through our website our Annual Reports on Form 10-K, Quarterly Reports on Form 10-Q and Current Reports on Form 8-K, and amendments to these reports filed or furnished pursuant to Section 13(a) or 15(d) of the Securities Exchange Act of 1934, as amended (the “Exchange Act”), as soon as reasonably practicable after we electronically file such material with, or furnish such material to, the SEC. These reports and other information are also available, free of charge, at www.sec.gov. Information contained on, or that can be accessed through, the websites referenced in this prospectus are not a part of, or incorporated by reference into, this prospectus.</w:t>
      </w:r>
    </w:p>
    <w:p>
      <w:pPr>
        <w:spacing w:after="0" w:line="3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0159"/>
          </w:cols>
          <w:pgMar w:left="300" w:top="375"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8" w:lineRule="exact"/>
        <w:rPr>
          <w:sz w:val="20"/>
          <w:szCs w:val="20"/>
          <w:color w:val="auto"/>
        </w:rPr>
      </w:pPr>
    </w:p>
    <w:p>
      <w:pPr>
        <w:ind w:left="1520" w:right="619"/>
        <w:spacing w:after="0" w:line="263" w:lineRule="auto"/>
        <w:rPr>
          <w:sz w:val="20"/>
          <w:szCs w:val="20"/>
          <w:color w:val="auto"/>
        </w:rPr>
      </w:pPr>
      <w:r>
        <w:rPr>
          <w:rFonts w:ascii="Times New Roman" w:cs="Times New Roman" w:eastAsia="Times New Roman" w:hAnsi="Times New Roman"/>
          <w:sz w:val="13"/>
          <w:szCs w:val="13"/>
          <w:color w:val="auto"/>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 our most recent Annual Report on Form</w:t>
      </w:r>
    </w:p>
    <w:p>
      <w:pPr>
        <w:spacing w:after="0" w:line="1" w:lineRule="exact"/>
        <w:rPr>
          <w:sz w:val="20"/>
          <w:szCs w:val="20"/>
          <w:color w:val="auto"/>
        </w:rPr>
      </w:pPr>
    </w:p>
    <w:p>
      <w:pPr>
        <w:ind w:left="1520" w:right="419"/>
        <w:spacing w:after="0" w:line="268" w:lineRule="auto"/>
        <w:rPr>
          <w:sz w:val="20"/>
          <w:szCs w:val="20"/>
          <w:color w:val="auto"/>
        </w:rPr>
      </w:pPr>
      <w:r>
        <w:rPr>
          <w:rFonts w:ascii="Times New Roman" w:cs="Times New Roman" w:eastAsia="Times New Roman" w:hAnsi="Times New Roman"/>
          <w:sz w:val="13"/>
          <w:szCs w:val="13"/>
          <w:color w:val="auto"/>
        </w:rPr>
        <w:t>10-K and our Quarterly Reports on Form 10-Q and other documents that we file with the SEC, which are incorporated herein by reference as described in this prospectus under the heading “Where You Can Find More Information”. The risks and uncertainties we have described in such documents are not the only risks that we face. Additional risks and uncertainties not presently known to us or that we currently deem immaterial may also affect our operations.</w:t>
      </w:r>
    </w:p>
    <w:p>
      <w:pPr>
        <w:spacing w:after="0" w:line="2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0159"/>
          </w:cols>
          <w:pgMar w:left="300" w:top="37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SELECTED FINANCIAL DATA REFLECTING REVERSE STOCK SPLIT</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Reverse Stock Split</w:t>
      </w:r>
    </w:p>
    <w:p>
      <w:pPr>
        <w:spacing w:after="0" w:line="9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On April 2, 2026, we effected a 1-for-25 reverse split of our common stock (the “Reverse Stock Split”). As a result of the Reverse Stock Split, every</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twenty-five (25) shares of our issued and outstanding common stock, par value $0.001, were converted into one (1) share of common stock, par value</w:t>
      </w:r>
    </w:p>
    <w:p>
      <w:pPr>
        <w:spacing w:after="0" w:line="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$0.001, reducing the number of issued and outstanding shares of our common stock from approximately 171,550,698 shares to approximately 6,862,027</w:t>
      </w:r>
    </w:p>
    <w:p>
      <w:pPr>
        <w:spacing w:after="0" w:line="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shares as of April 2, 2026. The Reverse Stock Split did not alter the par value of the Company’s common stock or modify any voting rights or other</w:t>
      </w:r>
    </w:p>
    <w:p>
      <w:pPr>
        <w:spacing w:after="0" w:line="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terms of the common stock. No fractional shares were issued in connection with the Reverse Stock Split. Except where the context otherwise requires,</w:t>
      </w:r>
    </w:p>
    <w:p>
      <w:pPr>
        <w:spacing w:after="0" w:line="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share numbers in this prospectus reflect the 1-for-25 reverse stock split of our common stock.</w:t>
      </w:r>
    </w:p>
    <w:p>
      <w:pPr>
        <w:spacing w:after="0" w:line="161" w:lineRule="exact"/>
        <w:rPr>
          <w:sz w:val="20"/>
          <w:szCs w:val="20"/>
          <w:color w:val="auto"/>
        </w:rPr>
      </w:pPr>
    </w:p>
    <w:p>
      <w:pPr>
        <w:jc w:val="both"/>
        <w:ind w:left="1520" w:right="419"/>
        <w:spacing w:after="0" w:line="278" w:lineRule="auto"/>
        <w:rPr>
          <w:sz w:val="20"/>
          <w:szCs w:val="20"/>
          <w:color w:val="auto"/>
        </w:rPr>
      </w:pPr>
      <w:r>
        <w:rPr>
          <w:rFonts w:ascii="Times New Roman" w:cs="Times New Roman" w:eastAsia="Times New Roman" w:hAnsi="Times New Roman"/>
          <w:sz w:val="13"/>
          <w:szCs w:val="13"/>
          <w:color w:val="auto"/>
        </w:rPr>
        <w:t>The following selected financial data has been derived from our audited financial statements included in our Annual Report on Form 10-K filed with the SEC on March 12, 2026, as adjusted to reflect the reverse stock split for all periods presented. Our historical results are not indicative of the results that may be expected in the future and results of interim periods are not indicative of the results for the entire year.</w:t>
      </w:r>
    </w:p>
    <w:p>
      <w:pPr>
        <w:spacing w:after="0" w:line="1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AS REPORTED (in thousands, except share and per share amounts):</w:t>
      </w:r>
    </w:p>
    <w:p>
      <w:pPr>
        <w:spacing w:after="0" w:line="176" w:lineRule="exact"/>
        <w:rPr>
          <w:sz w:val="20"/>
          <w:szCs w:val="20"/>
          <w:color w:val="auto"/>
        </w:rPr>
      </w:pPr>
    </w:p>
    <w:tbl>
      <w:tblPr>
        <w:tblLayout w:type="fixed"/>
        <w:tblInd w:w="2520" w:type="dxa"/>
        <w:tblCellMar>
          <w:top w:w="0" w:type="dxa"/>
          <w:left w:w="0" w:type="dxa"/>
          <w:bottom w:w="0" w:type="dxa"/>
          <w:right w:w="0" w:type="dxa"/>
        </w:tblCellMar>
      </w:tblPr>
      <w:tr>
        <w:trPr>
          <w:trHeight w:val="126"/>
        </w:trPr>
        <w:tc>
          <w:tcPr>
            <w:tcW w:w="3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Years Ended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0"/>
        </w:trPr>
        <w:tc>
          <w:tcPr>
            <w:tcW w:w="3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3940" w:type="dxa"/>
            <w:vAlign w:val="bottom"/>
            <w:tcBorders>
              <w:bottom w:val="single" w:sz="8" w:color="CCEEFF"/>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97"/>
              <w:spacing w:after="0" w:line="101" w:lineRule="exact"/>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35"/>
              <w:spacing w:after="0" w:line="101"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8"/>
                <w:szCs w:val="8"/>
                <w:color w:val="auto"/>
              </w:rPr>
            </w:pPr>
          </w:p>
        </w:tc>
      </w:tr>
      <w:tr>
        <w:trPr>
          <w:trHeight w:val="152"/>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(22,386)</w:t>
            </w: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(12,978)</w:t>
            </w:r>
          </w:p>
        </w:tc>
        <w:tc>
          <w:tcPr>
            <w:tcW w:w="80" w:type="dxa"/>
            <w:vAlign w:val="bottom"/>
            <w:shd w:val="clear" w:color="auto" w:fill="CCEEFF"/>
          </w:tcPr>
          <w:p>
            <w:pPr>
              <w:spacing w:after="0"/>
              <w:rPr>
                <w:sz w:val="13"/>
                <w:szCs w:val="13"/>
                <w:color w:val="auto"/>
              </w:rPr>
            </w:pPr>
          </w:p>
        </w:tc>
      </w:tr>
      <w:tr>
        <w:trPr>
          <w:trHeight w:val="162"/>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share of common stock—basic</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(0.29)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(1.95)</w:t>
            </w:r>
          </w:p>
        </w:tc>
      </w:tr>
      <w:tr>
        <w:trPr>
          <w:trHeight w:val="14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number of shares of common stock outstanding—</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4"/>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77,804,612</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6,640,251</w:t>
            </w:r>
          </w:p>
        </w:tc>
      </w:tr>
      <w:tr>
        <w:trPr>
          <w:trHeight w:val="162"/>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share of common stock—diluted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(0.29)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(2.34)</w:t>
            </w:r>
          </w:p>
        </w:tc>
      </w:tr>
      <w:tr>
        <w:trPr>
          <w:trHeight w:val="14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number of shares of common stock outstanding—</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4"/>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77,804,612</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7,700,774</w:t>
            </w:r>
          </w:p>
        </w:tc>
      </w:tr>
      <w:tr>
        <w:trPr>
          <w:trHeight w:val="174"/>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Common shares outstanding at year end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color w:val="auto"/>
              </w:rPr>
              <w:t>138,675,856</w:t>
            </w:r>
          </w:p>
        </w:tc>
        <w:tc>
          <w:tcPr>
            <w:tcW w:w="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5,896,333</w:t>
            </w:r>
          </w:p>
        </w:tc>
      </w:tr>
    </w:tbl>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ADJUSTED FOR 1-FOR-25 REVERSE STOCK SPLIT (unaudited, in thousands, except share and per share amounts):</w:t>
      </w:r>
    </w:p>
    <w:p>
      <w:pPr>
        <w:spacing w:after="0" w:line="176" w:lineRule="exact"/>
        <w:rPr>
          <w:sz w:val="20"/>
          <w:szCs w:val="20"/>
          <w:color w:val="auto"/>
        </w:rPr>
      </w:pPr>
    </w:p>
    <w:tbl>
      <w:tblPr>
        <w:tblLayout w:type="fixed"/>
        <w:tblInd w:w="2520" w:type="dxa"/>
        <w:tblCellMar>
          <w:top w:w="0" w:type="dxa"/>
          <w:left w:w="0" w:type="dxa"/>
          <w:bottom w:w="0" w:type="dxa"/>
          <w:right w:w="0" w:type="dxa"/>
        </w:tblCellMar>
      </w:tblPr>
      <w:tr>
        <w:trPr>
          <w:trHeight w:val="126"/>
        </w:trPr>
        <w:tc>
          <w:tcPr>
            <w:tcW w:w="4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Years Ended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0"/>
        </w:trPr>
        <w:tc>
          <w:tcPr>
            <w:tcW w:w="4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460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37"/>
              <w:spacing w:after="0" w:line="101" w:lineRule="exact"/>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95"/>
              <w:spacing w:after="0" w:line="101"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8"/>
                <w:szCs w:val="8"/>
                <w:color w:val="auto"/>
              </w:rPr>
            </w:pPr>
          </w:p>
        </w:tc>
      </w:tr>
      <w:tr>
        <w:trPr>
          <w:trHeight w:val="15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(22,386)</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(12,978)</w:t>
            </w:r>
          </w:p>
        </w:tc>
        <w:tc>
          <w:tcPr>
            <w:tcW w:w="80" w:type="dxa"/>
            <w:vAlign w:val="bottom"/>
            <w:shd w:val="clear" w:color="auto" w:fill="CCEEFF"/>
          </w:tcPr>
          <w:p>
            <w:pPr>
              <w:spacing w:after="0"/>
              <w:rPr>
                <w:sz w:val="13"/>
                <w:szCs w:val="13"/>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share of common stock—basic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(48.75)</w:t>
            </w:r>
          </w:p>
        </w:tc>
      </w:tr>
      <w:tr>
        <w:trPr>
          <w:trHeight w:val="16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number of shares of common stock outstanding—basic</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w w:val="99"/>
              </w:rPr>
              <w:t>3,112,184</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265,610</w:t>
            </w: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share of common stock—diluted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(58.50)</w:t>
            </w:r>
          </w:p>
        </w:tc>
      </w:tr>
      <w:tr>
        <w:trPr>
          <w:trHeight w:val="16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number of shares of common stock outstanding—diluted</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w w:val="99"/>
              </w:rPr>
              <w:t>3,112,184</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308,030</w:t>
            </w:r>
          </w:p>
        </w:tc>
      </w:tr>
      <w:tr>
        <w:trPr>
          <w:trHeight w:val="174"/>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Common shares outstanding at year end</w:t>
            </w:r>
          </w:p>
        </w:tc>
        <w:tc>
          <w:tcPr>
            <w:tcW w:w="8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w w:val="99"/>
              </w:rPr>
              <w:t>5,547,034</w:t>
            </w:r>
          </w:p>
        </w:tc>
        <w:tc>
          <w:tcPr>
            <w:tcW w:w="8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9"/>
              </w:rPr>
              <w:t>235,853</w:t>
            </w:r>
          </w:p>
        </w:tc>
      </w:tr>
      <w:tr>
        <w:trPr>
          <w:trHeight w:val="260"/>
        </w:trPr>
        <w:tc>
          <w:tcPr>
            <w:tcW w:w="4600" w:type="dxa"/>
            <w:vAlign w:val="bottom"/>
          </w:tcPr>
          <w:p>
            <w:pPr>
              <w:ind w:left="310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ectPr>
          <w:pgSz w:w="11900" w:h="16838" w:orient="portrait"/>
          <w:cols w:equalWidth="0" w:num="1">
            <w:col w:w="10159"/>
          </w:cols>
          <w:pgMar w:left="300" w:top="375"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8" w:lineRule="exact"/>
        <w:rPr>
          <w:sz w:val="20"/>
          <w:szCs w:val="20"/>
          <w:color w:val="auto"/>
        </w:rPr>
      </w:pPr>
    </w:p>
    <w:p>
      <w:pPr>
        <w:ind w:left="1520" w:right="539"/>
        <w:spacing w:after="0" w:line="268" w:lineRule="auto"/>
        <w:rPr>
          <w:sz w:val="20"/>
          <w:szCs w:val="20"/>
          <w:color w:val="auto"/>
        </w:rPr>
      </w:pPr>
      <w:r>
        <w:rPr>
          <w:rFonts w:ascii="Times New Roman" w:cs="Times New Roman" w:eastAsia="Times New Roman" w:hAnsi="Times New Roman"/>
          <w:sz w:val="13"/>
          <w:szCs w:val="13"/>
          <w:color w:val="auto"/>
        </w:rPr>
        <w:t>Except as otherwise provided in the applicable prospectus supplement relating to a specific offering, we intend to use the net proceeds from the sale of securities by us under this prospectus and any applicable prospectus supplement for general corporate purposes, which may include research and development expenditures, preclinical study and clinical trial expenditures, manufacturing expenditures, commercialization expenditures, working capital, capital expenditures, acquisitions of new technologies, products or businesses, and investments. Additional information on the use of net proceeds from the sale of securities by us under this prospectus may be set forth in the accompanying prospectus supplement relating to the specific offering.</w:t>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0159"/>
          </w:cols>
          <w:pgMar w:left="300" w:top="37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78" w:lineRule="exact"/>
        <w:rPr>
          <w:sz w:val="20"/>
          <w:szCs w:val="20"/>
          <w:color w:val="auto"/>
        </w:rPr>
      </w:pPr>
    </w:p>
    <w:p>
      <w:pPr>
        <w:ind w:left="1520" w:right="479"/>
        <w:spacing w:after="0" w:line="272" w:lineRule="auto"/>
        <w:rPr>
          <w:sz w:val="20"/>
          <w:szCs w:val="20"/>
          <w:color w:val="auto"/>
        </w:rPr>
      </w:pPr>
      <w:r>
        <w:rPr>
          <w:rFonts w:ascii="Times New Roman" w:cs="Times New Roman" w:eastAsia="Times New Roman" w:hAnsi="Times New Roman"/>
          <w:sz w:val="13"/>
          <w:szCs w:val="13"/>
          <w:color w:val="auto"/>
        </w:rPr>
        <w:t>We may sell the securities, from time to time pursuant to public offerings, negotiated transactions, block trades, “At the Market Offerings,” within the meaning of Rule 415(a)(4) of the Securities Act of 1933, as amended, or the Securities Act, into an existing trading market, at prevailing market prices, or a combination of these methods. We may sell the securities to or through underwriters or dealers, through agents or remarketing firms, or directly to one or more purchasers. We may distribute securities from time to time in one or more transactions:</w:t>
      </w:r>
    </w:p>
    <w:p>
      <w:pPr>
        <w:spacing w:after="0" w:line="59" w:lineRule="exact"/>
        <w:rPr>
          <w:sz w:val="20"/>
          <w:szCs w:val="20"/>
          <w:color w:val="auto"/>
        </w:rPr>
      </w:pPr>
    </w:p>
    <w:p>
      <w:pPr>
        <w:ind w:left="2260" w:hanging="331"/>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 fixed price or prices, which may be changed;</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market prices prevailing at the time of sale;</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prices related to such prevailing market prices; or</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negotiated prices.</w:t>
      </w:r>
    </w:p>
    <w:p>
      <w:pPr>
        <w:spacing w:after="0" w:line="174" w:lineRule="exact"/>
        <w:rPr>
          <w:sz w:val="20"/>
          <w:szCs w:val="20"/>
          <w:color w:val="auto"/>
        </w:rPr>
      </w:pPr>
    </w:p>
    <w:p>
      <w:pPr>
        <w:ind w:left="1520" w:right="539"/>
        <w:spacing w:after="0" w:line="298" w:lineRule="auto"/>
        <w:rPr>
          <w:sz w:val="20"/>
          <w:szCs w:val="20"/>
          <w:color w:val="auto"/>
        </w:rPr>
      </w:pPr>
      <w:r>
        <w:rPr>
          <w:rFonts w:ascii="Times New Roman" w:cs="Times New Roman" w:eastAsia="Times New Roman" w:hAnsi="Times New Roman"/>
          <w:sz w:val="13"/>
          <w:szCs w:val="13"/>
          <w:color w:val="auto"/>
        </w:rPr>
        <w:t>A prospectus supplement or supplements (and any related free writing prospectus that we may authorize to be provided to you) will describe the terms of the offering of the securities, including, to the extent applicable:</w:t>
      </w:r>
    </w:p>
    <w:p>
      <w:pPr>
        <w:spacing w:after="0" w:line="43" w:lineRule="exact"/>
        <w:rPr>
          <w:sz w:val="20"/>
          <w:szCs w:val="20"/>
          <w:color w:val="auto"/>
        </w:rPr>
      </w:pPr>
    </w:p>
    <w:p>
      <w:pPr>
        <w:ind w:left="2260" w:hanging="331"/>
        <w:spacing w:after="0"/>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or names of the underwriters, dealers or agents, if any;</w:t>
      </w:r>
    </w:p>
    <w:p>
      <w:pPr>
        <w:spacing w:after="0" w:line="102" w:lineRule="exact"/>
        <w:rPr>
          <w:rFonts w:ascii="Times New Roman" w:cs="Times New Roman" w:eastAsia="Times New Roman" w:hAnsi="Times New Roman"/>
          <w:sz w:val="13"/>
          <w:szCs w:val="13"/>
          <w:color w:val="auto"/>
        </w:rPr>
      </w:pPr>
    </w:p>
    <w:p>
      <w:pPr>
        <w:ind w:left="2260" w:right="539" w:hanging="331"/>
        <w:spacing w:after="0" w:line="278" w:lineRule="auto"/>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securities are to be offered through the selling efforts of brokers or dealers, the plan of distribution and the terms of any agreement, arrangement, or understanding entered into with broker(s) or dealer(s) prior to the effective date of the registration statement, and, if known, the identity of any broker(s) or dealer(s) who will participate in the offering and the amount to be offered through each;</w:t>
      </w:r>
    </w:p>
    <w:p>
      <w:pPr>
        <w:spacing w:after="0" w:line="55"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 price of the securities or other consideration therefor, and the proceeds, if any, we will receive from the sale;</w:t>
      </w:r>
    </w:p>
    <w:p>
      <w:pPr>
        <w:spacing w:after="0" w:line="102" w:lineRule="exact"/>
        <w:rPr>
          <w:rFonts w:ascii="Times New Roman" w:cs="Times New Roman" w:eastAsia="Times New Roman" w:hAnsi="Times New Roman"/>
          <w:sz w:val="13"/>
          <w:szCs w:val="13"/>
          <w:color w:val="auto"/>
        </w:rPr>
      </w:pPr>
    </w:p>
    <w:p>
      <w:pPr>
        <w:ind w:left="2260" w:right="539" w:hanging="331"/>
        <w:spacing w:after="0" w:line="298" w:lineRule="auto"/>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of the securities being registered are to be offered otherwise than for cash, the general purposes of the distribution, the basis upon which the securities are to be offered, the amount of compensation and other expenses of distribution, and by whom they are to be borne;</w:t>
      </w:r>
    </w:p>
    <w:p>
      <w:pPr>
        <w:spacing w:after="0" w:line="4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delayed delivery arrangements;</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options under which underwriters may purchase additional securities from us;</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agency fees or underwriting discounts and other items constituting agents’ or underwriters’ compensation;</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public offering price;</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discounts, commissions or concessions allowed or reallowed or paid to dealers;</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identity and relationships of any finders, if applicable; and</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securities exchange or market on which the securities may be listed.</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Only underwriters named in the prospectus supplement will be underwriters of the securities offered by the prospectus supplement.</w:t>
      </w:r>
    </w:p>
    <w:p>
      <w:pPr>
        <w:spacing w:after="0" w:line="174" w:lineRule="exact"/>
        <w:rPr>
          <w:sz w:val="20"/>
          <w:szCs w:val="20"/>
          <w:color w:val="auto"/>
        </w:rPr>
      </w:pPr>
    </w:p>
    <w:p>
      <w:pPr>
        <w:ind w:left="1520" w:right="459"/>
        <w:spacing w:after="0" w:line="267" w:lineRule="auto"/>
        <w:rPr>
          <w:sz w:val="20"/>
          <w:szCs w:val="20"/>
          <w:color w:val="auto"/>
        </w:rPr>
      </w:pPr>
      <w:r>
        <w:rPr>
          <w:rFonts w:ascii="Times New Roman" w:cs="Times New Roman" w:eastAsia="Times New Roman" w:hAnsi="Times New Roman"/>
          <w:sz w:val="13"/>
          <w:szCs w:val="13"/>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Unless otherwise indicated in the prospectus supplement, subject to certain conditions, the underwriters will be obligated to purchase all of the securities offered by the prospectus supplement, other than securities covered by any purchase option. Any public offering price and any discounts or concessions allowed or reallowed or paid to</w:t>
      </w:r>
    </w:p>
    <w:p>
      <w:pPr>
        <w:spacing w:after="0" w:line="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0159"/>
          </w:cols>
          <w:pgMar w:left="300" w:top="37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20" w:right="519"/>
        <w:spacing w:after="0" w:line="298" w:lineRule="auto"/>
        <w:rPr>
          <w:sz w:val="20"/>
          <w:szCs w:val="20"/>
          <w:color w:val="auto"/>
        </w:rPr>
      </w:pPr>
      <w:r>
        <w:rPr>
          <w:rFonts w:ascii="Times New Roman" w:cs="Times New Roman" w:eastAsia="Times New Roman" w:hAnsi="Times New Roman"/>
          <w:sz w:val="13"/>
          <w:szCs w:val="13"/>
          <w:color w:val="auto"/>
        </w:rPr>
        <w:t>dealers may change from time to time. We may use underwriters, dealers or agents with whom we have a material relationship. We will describe in the prospectus supplement, naming the underwriter, dealer or agent, the nature of any such relationship.</w:t>
      </w:r>
    </w:p>
    <w:p>
      <w:pPr>
        <w:spacing w:after="0" w:line="113" w:lineRule="exact"/>
        <w:rPr>
          <w:sz w:val="20"/>
          <w:szCs w:val="20"/>
          <w:color w:val="auto"/>
        </w:rPr>
      </w:pPr>
    </w:p>
    <w:p>
      <w:pPr>
        <w:ind w:left="1520" w:right="499"/>
        <w:spacing w:after="0" w:line="272" w:lineRule="auto"/>
        <w:rPr>
          <w:sz w:val="20"/>
          <w:szCs w:val="20"/>
          <w:color w:val="auto"/>
        </w:rPr>
      </w:pPr>
      <w:r>
        <w:rPr>
          <w:rFonts w:ascii="Times New Roman" w:cs="Times New Roman" w:eastAsia="Times New Roman" w:hAnsi="Times New Roman"/>
          <w:sz w:val="13"/>
          <w:szCs w:val="13"/>
          <w:color w:val="auto"/>
        </w:rPr>
        <w:t>We may use a remarketing firm to offer the securities in connection with a remarketing arrangement upon their purchase. Remarketing firms will act as principals for their own account or as agents for us. These remarketing firms will offer or sell the securities pursuant to the terms of the securities. A prospectus supplement will identify any remarketing firm and the terms of its agreement, if any, with us and will describe the remarketing firm’s compensation. Remarketing firms may be deemed to be underwriters in connection with the securities they remarket.</w:t>
      </w:r>
    </w:p>
    <w:p>
      <w:pPr>
        <w:spacing w:after="0" w:line="130" w:lineRule="exact"/>
        <w:rPr>
          <w:sz w:val="20"/>
          <w:szCs w:val="20"/>
          <w:color w:val="auto"/>
        </w:rPr>
      </w:pPr>
    </w:p>
    <w:p>
      <w:pPr>
        <w:ind w:left="1520" w:right="459"/>
        <w:spacing w:after="0" w:line="278" w:lineRule="auto"/>
        <w:rPr>
          <w:sz w:val="20"/>
          <w:szCs w:val="20"/>
          <w:color w:val="auto"/>
        </w:rPr>
      </w:pPr>
      <w:r>
        <w:rPr>
          <w:rFonts w:ascii="Times New Roman" w:cs="Times New Roman" w:eastAsia="Times New Roman" w:hAnsi="Times New Roman"/>
          <w:sz w:val="13"/>
          <w:szCs w:val="13"/>
          <w:color w:val="auto"/>
        </w:rPr>
        <w:t>If we offer and sell securities through a dealer, we or an underwriter will sell the securities to the dealer, as principal. The dealer may then resell the securities to the public at varying prices to be determined by the dealer at the time of resale. The name of the dealer and the terms of the transaction will be set forth in the applicable prospectus supplement.</w:t>
      </w:r>
    </w:p>
    <w:p>
      <w:pPr>
        <w:spacing w:after="0" w:line="127" w:lineRule="exact"/>
        <w:rPr>
          <w:sz w:val="20"/>
          <w:szCs w:val="20"/>
          <w:color w:val="auto"/>
        </w:rPr>
      </w:pPr>
    </w:p>
    <w:p>
      <w:pPr>
        <w:ind w:left="1520" w:right="479"/>
        <w:spacing w:after="0" w:line="278" w:lineRule="auto"/>
        <w:rPr>
          <w:sz w:val="20"/>
          <w:szCs w:val="20"/>
          <w:color w:val="auto"/>
        </w:rPr>
      </w:pPr>
      <w:r>
        <w:rPr>
          <w:rFonts w:ascii="Times New Roman" w:cs="Times New Roman" w:eastAsia="Times New Roman" w:hAnsi="Times New Roman"/>
          <w:sz w:val="13"/>
          <w:szCs w:val="13"/>
          <w:color w:val="auto"/>
        </w:rPr>
        <w:t>We may sell securities directly or through agents we designate from time to time. We will name any agent involved in the offering and sale of securities and we will describe any commissions we will pay to the agent in the prospectus supplement. Unless the prospectus supplement states otherwise, our agent will act on a best-efforts basis for the period of its appointment.</w:t>
      </w:r>
    </w:p>
    <w:p>
      <w:pPr>
        <w:spacing w:after="0" w:line="127" w:lineRule="exact"/>
        <w:rPr>
          <w:sz w:val="20"/>
          <w:szCs w:val="20"/>
          <w:color w:val="auto"/>
        </w:rPr>
      </w:pPr>
    </w:p>
    <w:p>
      <w:pPr>
        <w:ind w:left="1520" w:right="479"/>
        <w:spacing w:after="0" w:line="278" w:lineRule="auto"/>
        <w:rPr>
          <w:sz w:val="20"/>
          <w:szCs w:val="20"/>
          <w:color w:val="auto"/>
        </w:rPr>
      </w:pPr>
      <w:r>
        <w:rPr>
          <w:rFonts w:ascii="Times New Roman" w:cs="Times New Roman" w:eastAsia="Times New Roman" w:hAnsi="Times New Roman"/>
          <w:sz w:val="13"/>
          <w:szCs w:val="13"/>
          <w:color w:val="auto"/>
        </w:rPr>
        <w:t>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27" w:lineRule="exact"/>
        <w:rPr>
          <w:sz w:val="20"/>
          <w:szCs w:val="20"/>
          <w:color w:val="auto"/>
        </w:rPr>
      </w:pPr>
    </w:p>
    <w:p>
      <w:pPr>
        <w:ind w:left="1520" w:right="439"/>
        <w:spacing w:after="0" w:line="278" w:lineRule="auto"/>
        <w:rPr>
          <w:sz w:val="20"/>
          <w:szCs w:val="20"/>
          <w:color w:val="auto"/>
        </w:rPr>
      </w:pPr>
      <w:r>
        <w:rPr>
          <w:rFonts w:ascii="Times New Roman" w:cs="Times New Roman" w:eastAsia="Times New Roman" w:hAnsi="Times New Roman"/>
          <w:sz w:val="13"/>
          <w:szCs w:val="13"/>
          <w:color w:val="auto"/>
        </w:rPr>
        <w:t>We may sell securities directly to one or more purchasers without using underwriters or agents. 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w:t>
      </w:r>
    </w:p>
    <w:p>
      <w:pPr>
        <w:spacing w:after="0" w:line="127" w:lineRule="exact"/>
        <w:rPr>
          <w:sz w:val="20"/>
          <w:szCs w:val="20"/>
          <w:color w:val="auto"/>
        </w:rPr>
      </w:pPr>
    </w:p>
    <w:p>
      <w:pPr>
        <w:jc w:val="both"/>
        <w:ind w:left="1520" w:right="499"/>
        <w:spacing w:after="0" w:line="278" w:lineRule="auto"/>
        <w:rPr>
          <w:sz w:val="20"/>
          <w:szCs w:val="20"/>
          <w:color w:val="auto"/>
        </w:rPr>
      </w:pPr>
      <w:r>
        <w:rPr>
          <w:rFonts w:ascii="Times New Roman" w:cs="Times New Roman" w:eastAsia="Times New Roman" w:hAnsi="Times New Roman"/>
          <w:sz w:val="13"/>
          <w:szCs w:val="13"/>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27" w:lineRule="exact"/>
        <w:rPr>
          <w:sz w:val="20"/>
          <w:szCs w:val="20"/>
          <w:color w:val="auto"/>
        </w:rPr>
      </w:pPr>
    </w:p>
    <w:p>
      <w:pPr>
        <w:ind w:left="1520" w:right="799"/>
        <w:spacing w:after="0" w:line="278" w:lineRule="auto"/>
        <w:rPr>
          <w:sz w:val="20"/>
          <w:szCs w:val="20"/>
          <w:color w:val="auto"/>
        </w:rPr>
      </w:pPr>
      <w:r>
        <w:rPr>
          <w:rFonts w:ascii="Times New Roman" w:cs="Times New Roman" w:eastAsia="Times New Roman" w:hAnsi="Times New Roman"/>
          <w:sz w:val="13"/>
          <w:szCs w:val="13"/>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respective affiliates, may engage in transactions with, or perform services for, us in the ordinary course of business.</w:t>
      </w:r>
    </w:p>
    <w:p>
      <w:pPr>
        <w:spacing w:after="0" w:line="127" w:lineRule="exact"/>
        <w:rPr>
          <w:sz w:val="20"/>
          <w:szCs w:val="20"/>
          <w:color w:val="auto"/>
        </w:rPr>
      </w:pPr>
    </w:p>
    <w:p>
      <w:pPr>
        <w:ind w:left="1520" w:right="459"/>
        <w:spacing w:after="0" w:line="278" w:lineRule="auto"/>
        <w:rPr>
          <w:sz w:val="20"/>
          <w:szCs w:val="20"/>
          <w:color w:val="auto"/>
        </w:rPr>
      </w:pPr>
      <w:r>
        <w:rPr>
          <w:rFonts w:ascii="Times New Roman" w:cs="Times New Roman" w:eastAsia="Times New Roman" w:hAnsi="Times New Roman"/>
          <w:sz w:val="13"/>
          <w:szCs w:val="13"/>
          <w:color w:val="auto"/>
        </w:rPr>
        <w:t>All securities we may offer, other than shares of common stock, will be new issues of securities with no established trading market. Any underwriter may make a market in these securities, but will not be obligated to do so and may discontinue any market making at any time without notice. We cannot guarantee the liquidity of the trading markets for any securities.</w:t>
      </w:r>
    </w:p>
    <w:p>
      <w:pPr>
        <w:spacing w:after="0" w:line="127" w:lineRule="exact"/>
        <w:rPr>
          <w:sz w:val="20"/>
          <w:szCs w:val="20"/>
          <w:color w:val="auto"/>
        </w:rPr>
      </w:pPr>
    </w:p>
    <w:p>
      <w:pPr>
        <w:ind w:left="1520" w:right="399"/>
        <w:spacing w:after="0" w:line="269" w:lineRule="auto"/>
        <w:rPr>
          <w:sz w:val="20"/>
          <w:szCs w:val="20"/>
          <w:color w:val="auto"/>
        </w:rPr>
      </w:pPr>
      <w:r>
        <w:rPr>
          <w:rFonts w:ascii="Times New Roman" w:cs="Times New Roman" w:eastAsia="Times New Roman" w:hAnsi="Times New Roman"/>
          <w:sz w:val="13"/>
          <w:szCs w:val="13"/>
          <w:color w:val="auto"/>
        </w:rPr>
        <w:t>Any underwriter may engage in purchase options, stabilizing transactions, short-covering transactions and penalty bids in accordance with Regulation M under the Exchange Act. Purchase options involve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purchase option or in the open market after the distribution is completed, to cover short positions. Penalty bids permit the</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0159"/>
          </w:cols>
          <w:pgMar w:left="300" w:top="37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jc w:val="both"/>
        <w:ind w:left="1520" w:right="639"/>
        <w:spacing w:after="0" w:line="278" w:lineRule="auto"/>
        <w:rPr>
          <w:sz w:val="20"/>
          <w:szCs w:val="20"/>
          <w:color w:val="auto"/>
        </w:rPr>
      </w:pPr>
      <w:r>
        <w:rPr>
          <w:rFonts w:ascii="Times New Roman" w:cs="Times New Roman" w:eastAsia="Times New Roman" w:hAnsi="Times New Roman"/>
          <w:sz w:val="13"/>
          <w:szCs w:val="13"/>
          <w:color w:val="auto"/>
        </w:rPr>
        <w:t>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7" w:lineRule="exact"/>
        <w:rPr>
          <w:sz w:val="20"/>
          <w:szCs w:val="20"/>
          <w:color w:val="auto"/>
        </w:rPr>
      </w:pPr>
    </w:p>
    <w:p>
      <w:pPr>
        <w:ind w:left="1520" w:right="419"/>
        <w:spacing w:after="0" w:line="265" w:lineRule="auto"/>
        <w:rPr>
          <w:sz w:val="20"/>
          <w:szCs w:val="20"/>
          <w:color w:val="auto"/>
        </w:rPr>
      </w:pPr>
      <w:r>
        <w:rPr>
          <w:rFonts w:ascii="Times New Roman" w:cs="Times New Roman" w:eastAsia="Times New Roman" w:hAnsi="Times New Roman"/>
          <w:sz w:val="13"/>
          <w:szCs w:val="13"/>
          <w:color w:val="auto"/>
        </w:rPr>
        <w:t>Any underwriters that are qualified market makers on the Nasdaq Capital Market may engage in passive market making transactions in the shares of common stock on the Nasdaq Capital Market in accordance with Regulation M under the Exchange Act, during the business day prior to the pricing of the offering, before the commencement of offers or sales of the shares of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0159"/>
          </w:cols>
          <w:pgMar w:left="300" w:top="375"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DESCRIPTION OF OUR SECURITIES</w:t>
      </w:r>
    </w:p>
    <w:p>
      <w:pPr>
        <w:spacing w:after="0" w:line="17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We may offer and sell, at any time and from time to time:</w:t>
      </w:r>
    </w:p>
    <w:p>
      <w:pPr>
        <w:spacing w:after="0" w:line="103" w:lineRule="exact"/>
        <w:rPr>
          <w:sz w:val="20"/>
          <w:szCs w:val="20"/>
          <w:color w:val="auto"/>
        </w:rPr>
      </w:pPr>
    </w:p>
    <w:p>
      <w:pPr>
        <w:ind w:left="2260" w:hanging="331"/>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our common stock;</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our preferred stock;</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warrants to purchase shares of our common stock, preferred stock or debt securities;</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securities consisting of debentures, notes or other evidences of indebtedness;</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subscription rights to purchase any of the foregoing securities;</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units consisting of a combination of the foregoing securities; or</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combination of these securities.</w:t>
      </w:r>
    </w:p>
    <w:p>
      <w:pPr>
        <w:spacing w:after="0" w:line="174" w:lineRule="exact"/>
        <w:rPr>
          <w:sz w:val="20"/>
          <w:szCs w:val="20"/>
          <w:color w:val="auto"/>
        </w:rPr>
      </w:pPr>
    </w:p>
    <w:p>
      <w:pPr>
        <w:ind w:left="1520" w:right="639"/>
        <w:spacing w:after="0" w:line="278" w:lineRule="auto"/>
        <w:rPr>
          <w:sz w:val="20"/>
          <w:szCs w:val="20"/>
          <w:color w:val="auto"/>
        </w:rPr>
      </w:pPr>
      <w:r>
        <w:rPr>
          <w:rFonts w:ascii="Times New Roman" w:cs="Times New Roman" w:eastAsia="Times New Roman" w:hAnsi="Times New Roman"/>
          <w:sz w:val="13"/>
          <w:szCs w:val="13"/>
          <w:color w:val="auto"/>
        </w:rPr>
        <w:t>The terms of any securities we offer will be determined at the time of sale. We may issue debt securities that are exchangeable for and/or convertible into shares of common stock or any of the other securities that may be sold under this prospectus. When particular securities are offered by us, a supplement to this prospectus will be filed with the SEC, which will describe the terms of the offering and sale of the offered securities.</w:t>
      </w:r>
    </w:p>
    <w:p>
      <w:pPr>
        <w:spacing w:after="0" w:line="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0159"/>
          </w:cols>
          <w:pgMar w:left="300" w:top="375"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DESCRIPTION OF COMMON STOCK</w:t>
      </w:r>
    </w:p>
    <w:p>
      <w:pPr>
        <w:spacing w:after="0" w:line="176" w:lineRule="exact"/>
        <w:rPr>
          <w:sz w:val="20"/>
          <w:szCs w:val="20"/>
          <w:color w:val="auto"/>
        </w:rPr>
      </w:pPr>
    </w:p>
    <w:p>
      <w:pPr>
        <w:ind w:left="1520" w:right="419"/>
        <w:spacing w:after="0" w:line="277" w:lineRule="auto"/>
        <w:rPr>
          <w:sz w:val="20"/>
          <w:szCs w:val="20"/>
          <w:color w:val="auto"/>
        </w:rPr>
      </w:pPr>
      <w:r>
        <w:rPr>
          <w:rFonts w:ascii="Times New Roman" w:cs="Times New Roman" w:eastAsia="Times New Roman" w:hAnsi="Times New Roman"/>
          <w:sz w:val="13"/>
          <w:szCs w:val="13"/>
          <w:i w:val="1"/>
          <w:iCs w:val="1"/>
          <w:color w:val="auto"/>
        </w:rPr>
        <w:t>The following summary of the terms of our shares of common stock is subject to and qualified in its entirety by reference to our composite certificate of incorporation, as amended and restated (the “Charter”), and bylaws, as amended and restated (the “Bylaws”), copies of which are on file with the SEC as exhibits to previous filings with the SEC. Please refer to “Where You Can Find More Information” below for directions on obtaining these documents.</w:t>
      </w:r>
    </w:p>
    <w:p>
      <w:pPr>
        <w:spacing w:after="0" w:line="292" w:lineRule="exact"/>
        <w:rPr>
          <w:sz w:val="20"/>
          <w:szCs w:val="20"/>
          <w:color w:val="auto"/>
        </w:rPr>
      </w:pPr>
    </w:p>
    <w:p>
      <w:pPr>
        <w:ind w:left="1520" w:right="659"/>
        <w:spacing w:after="0" w:line="272" w:lineRule="auto"/>
        <w:rPr>
          <w:sz w:val="20"/>
          <w:szCs w:val="20"/>
          <w:color w:val="auto"/>
        </w:rPr>
      </w:pPr>
      <w:r>
        <w:rPr>
          <w:rFonts w:ascii="Times New Roman" w:cs="Times New Roman" w:eastAsia="Times New Roman" w:hAnsi="Times New Roman"/>
          <w:sz w:val="13"/>
          <w:szCs w:val="13"/>
          <w:color w:val="auto"/>
        </w:rPr>
        <w:t>Our Charter authorizes us to issue up to 2,000,000,000 shares of our common stock and to issue and designate the rights of, without stockholder approval, and up to 5,000,000 shares of preferred stock. As of May 27, 2026, there were 6,883,897 shares of common stock outstanding, held by 28 stockholders of record. This figure does not reflect the number of beneficial owners of shares of our common stock as a single stockholder of record often holds shares in nominee name (also referred to as, in “street name”) on behalf of multiple beneficial owners.</w:t>
      </w:r>
    </w:p>
    <w:p>
      <w:pPr>
        <w:spacing w:after="0" w:line="2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Voting Rights</w:t>
      </w:r>
    </w:p>
    <w:p>
      <w:pPr>
        <w:spacing w:after="0" w:line="95" w:lineRule="exact"/>
        <w:rPr>
          <w:sz w:val="20"/>
          <w:szCs w:val="20"/>
          <w:color w:val="auto"/>
        </w:rPr>
      </w:pPr>
    </w:p>
    <w:p>
      <w:pPr>
        <w:ind w:left="1520" w:right="739"/>
        <w:spacing w:after="0" w:line="298" w:lineRule="auto"/>
        <w:rPr>
          <w:sz w:val="20"/>
          <w:szCs w:val="20"/>
          <w:color w:val="auto"/>
        </w:rPr>
      </w:pPr>
      <w:r>
        <w:rPr>
          <w:rFonts w:ascii="Times New Roman" w:cs="Times New Roman" w:eastAsia="Times New Roman" w:hAnsi="Times New Roman"/>
          <w:sz w:val="13"/>
          <w:szCs w:val="13"/>
          <w:color w:val="auto"/>
        </w:rPr>
        <w:t>Each holder of shares of our common stock is entitled to one vote for each share held of record on each matter submitted to a vote of stockholders, including the election of directors. Stockholders do not have any right to cumulate votes in the election of directors.</w:t>
      </w:r>
    </w:p>
    <w:p>
      <w:pPr>
        <w:spacing w:after="0" w:line="113" w:lineRule="exact"/>
        <w:rPr>
          <w:sz w:val="20"/>
          <w:szCs w:val="20"/>
          <w:color w:val="auto"/>
        </w:rPr>
      </w:pPr>
    </w:p>
    <w:p>
      <w:pPr>
        <w:ind w:left="1520" w:right="499"/>
        <w:spacing w:after="0" w:line="269" w:lineRule="auto"/>
        <w:rPr>
          <w:sz w:val="20"/>
          <w:szCs w:val="20"/>
          <w:color w:val="auto"/>
        </w:rPr>
      </w:pPr>
      <w:r>
        <w:rPr>
          <w:rFonts w:ascii="Times New Roman" w:cs="Times New Roman" w:eastAsia="Times New Roman" w:hAnsi="Times New Roman"/>
          <w:sz w:val="13"/>
          <w:szCs w:val="13"/>
          <w:color w:val="auto"/>
        </w:rPr>
        <w:t>When a quorum is present at any meeting, the vote of the holders of a majority of the voting power of the common stock and entitled to vote present in person or represented by proxy shall decide any question brought before such meeting, unless the question is one upon which by express provision of our Charter, Bylaws or by law, a different vote is required, in which case such express provision shall govern and control the decision of such question. Directors are elected by a plurality of the voting power of the shares present in person or represented by proxy and entitled to vote on the election of directors at a meeting at which a quorum is present, and stockholders are not entitled to cumulate their votes for the election of directors.</w:t>
      </w: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Dividend Rights</w:t>
      </w:r>
    </w:p>
    <w:p>
      <w:pPr>
        <w:spacing w:after="0" w:line="95" w:lineRule="exact"/>
        <w:rPr>
          <w:sz w:val="20"/>
          <w:szCs w:val="20"/>
          <w:color w:val="auto"/>
        </w:rPr>
      </w:pPr>
    </w:p>
    <w:p>
      <w:pPr>
        <w:ind w:left="1520" w:right="419"/>
        <w:spacing w:after="0" w:line="278" w:lineRule="auto"/>
        <w:rPr>
          <w:sz w:val="20"/>
          <w:szCs w:val="20"/>
          <w:color w:val="auto"/>
        </w:rPr>
      </w:pPr>
      <w:r>
        <w:rPr>
          <w:rFonts w:ascii="Times New Roman" w:cs="Times New Roman" w:eastAsia="Times New Roman" w:hAnsi="Times New Roman"/>
          <w:sz w:val="13"/>
          <w:szCs w:val="13"/>
          <w:color w:val="auto"/>
        </w:rPr>
        <w:t>Subject to preferences that may be granted to the holders of any then outstanding preferred stock, each holder of shares of our outstanding common stock is entitled to share ratably in distributions to stockholders and to receive ratably such dividends as may be declared by our board of directors out of funds legally available therefor.</w:t>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Liquidation Rights</w:t>
      </w:r>
    </w:p>
    <w:p>
      <w:pPr>
        <w:spacing w:after="0" w:line="95" w:lineRule="exact"/>
        <w:rPr>
          <w:sz w:val="20"/>
          <w:szCs w:val="20"/>
          <w:color w:val="auto"/>
        </w:rPr>
      </w:pPr>
    </w:p>
    <w:p>
      <w:pPr>
        <w:ind w:left="1520" w:right="539"/>
        <w:spacing w:after="0" w:line="278" w:lineRule="auto"/>
        <w:rPr>
          <w:sz w:val="20"/>
          <w:szCs w:val="20"/>
          <w:color w:val="auto"/>
        </w:rPr>
      </w:pPr>
      <w:r>
        <w:rPr>
          <w:rFonts w:ascii="Times New Roman" w:cs="Times New Roman" w:eastAsia="Times New Roman" w:hAnsi="Times New Roman"/>
          <w:sz w:val="13"/>
          <w:szCs w:val="13"/>
          <w:color w:val="auto"/>
        </w:rPr>
        <w:t>In the event of our liquidation, dissolution or winding up, the holders of shares of our common stock will be entitled to receive, after payment of all of our debts and liabilities and of all sums to which holders of any then outstanding preferred stock may be entitled, the distribution of any of our remaining assets.</w:t>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Other Rights and Preferences</w:t>
      </w:r>
    </w:p>
    <w:p>
      <w:pPr>
        <w:spacing w:after="0" w:line="95" w:lineRule="exact"/>
        <w:rPr>
          <w:sz w:val="20"/>
          <w:szCs w:val="20"/>
          <w:color w:val="auto"/>
        </w:rPr>
      </w:pPr>
    </w:p>
    <w:p>
      <w:pPr>
        <w:ind w:left="1520" w:right="539"/>
        <w:spacing w:after="0" w:line="272" w:lineRule="auto"/>
        <w:rPr>
          <w:sz w:val="20"/>
          <w:szCs w:val="20"/>
          <w:color w:val="auto"/>
        </w:rPr>
      </w:pPr>
      <w:r>
        <w:rPr>
          <w:rFonts w:ascii="Times New Roman" w:cs="Times New Roman" w:eastAsia="Times New Roman" w:hAnsi="Times New Roman"/>
          <w:sz w:val="13"/>
          <w:szCs w:val="13"/>
          <w:color w:val="auto"/>
        </w:rPr>
        <w:t>Holders of shares of our common stock have no conversion, exchange, sinking fund, redemption or appraisal rights (other than such as may be determined by our board of directors in its sole discretion) and have no preemptive rights to subscribe for any of our securities. The rights, preferences and privileges of the holders of our shares of common stock are subject to, and may be adversely affected by, the rights of shares of any series of our preferred stock that we may classify and issue in the future.</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Outstanding Stock Options</w:t>
      </w:r>
    </w:p>
    <w:p>
      <w:pPr>
        <w:spacing w:after="0" w:line="9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As of May 27, 2026, we had outstanding options to purchase 631,779 shares of our common stock, pursuant to our equity incentive plans.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0159"/>
          </w:cols>
          <w:pgMar w:left="300" w:top="375"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Outstanding Stock Units</w:t>
      </w:r>
    </w:p>
    <w:p>
      <w:pPr>
        <w:spacing w:after="0" w:line="97" w:lineRule="exact"/>
        <w:rPr>
          <w:sz w:val="20"/>
          <w:szCs w:val="20"/>
          <w:color w:val="auto"/>
        </w:rPr>
      </w:pPr>
    </w:p>
    <w:p>
      <w:pPr>
        <w:ind w:left="1520" w:right="659"/>
        <w:spacing w:after="0" w:line="298" w:lineRule="auto"/>
        <w:rPr>
          <w:sz w:val="20"/>
          <w:szCs w:val="20"/>
          <w:color w:val="auto"/>
        </w:rPr>
      </w:pPr>
      <w:r>
        <w:rPr>
          <w:rFonts w:ascii="Times New Roman" w:cs="Times New Roman" w:eastAsia="Times New Roman" w:hAnsi="Times New Roman"/>
          <w:sz w:val="13"/>
          <w:szCs w:val="13"/>
          <w:color w:val="auto"/>
        </w:rPr>
        <w:t>As of May 27, 2026, we had 256,524 outstanding restricted stock units and no shares reserved to be granted as restricted stock units, pursuant to our 2020 Stock Incentive Plan, as amended.</w:t>
      </w:r>
    </w:p>
    <w:p>
      <w:pPr>
        <w:spacing w:after="0" w:line="1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Outstanding Warrants</w:t>
      </w:r>
    </w:p>
    <w:p>
      <w:pPr>
        <w:spacing w:after="0" w:line="97" w:lineRule="exact"/>
        <w:rPr>
          <w:sz w:val="20"/>
          <w:szCs w:val="20"/>
          <w:color w:val="auto"/>
        </w:rPr>
      </w:pPr>
    </w:p>
    <w:p>
      <w:pPr>
        <w:ind w:left="1520" w:right="479"/>
        <w:spacing w:after="0" w:line="278" w:lineRule="auto"/>
        <w:rPr>
          <w:sz w:val="20"/>
          <w:szCs w:val="20"/>
          <w:color w:val="auto"/>
        </w:rPr>
      </w:pPr>
      <w:r>
        <w:rPr>
          <w:rFonts w:ascii="Times New Roman" w:cs="Times New Roman" w:eastAsia="Times New Roman" w:hAnsi="Times New Roman"/>
          <w:sz w:val="13"/>
          <w:szCs w:val="13"/>
          <w:color w:val="auto"/>
        </w:rPr>
        <w:t>As of May 27, 2026, we had 1,930 Series A common stock purchase warrants outstanding (the “May 2024 Series A Warrants”), which warrants were issued on May 9, 2024 and have an exercise price of $44.75 per share. The May 2024 Series A Warrants are exercisable immediately. Subject to certain ownership limitations, the May 2024 Series A Warrants will be exercisable until May 8, 2029.</w:t>
      </w:r>
    </w:p>
    <w:p>
      <w:pPr>
        <w:spacing w:after="0" w:line="127" w:lineRule="exact"/>
        <w:rPr>
          <w:sz w:val="20"/>
          <w:szCs w:val="20"/>
          <w:color w:val="auto"/>
        </w:rPr>
      </w:pPr>
    </w:p>
    <w:p>
      <w:pPr>
        <w:ind w:left="1520" w:right="479"/>
        <w:spacing w:after="0" w:line="278" w:lineRule="auto"/>
        <w:rPr>
          <w:sz w:val="20"/>
          <w:szCs w:val="20"/>
          <w:color w:val="auto"/>
        </w:rPr>
      </w:pPr>
      <w:r>
        <w:rPr>
          <w:rFonts w:ascii="Times New Roman" w:cs="Times New Roman" w:eastAsia="Times New Roman" w:hAnsi="Times New Roman"/>
          <w:sz w:val="13"/>
          <w:szCs w:val="13"/>
          <w:color w:val="auto"/>
        </w:rPr>
        <w:t>As of May 27, 2026, we had 1,815,784 warrants outstanding (the “January 2026 Warrants”), which warrants were issued on January 15, 2026. The January 2026 Warrants have an exercise price of $9.50 per share. The January 2026 Warrants are exercisable immediately. Subject to certain ownership limitations, the January 2026 Warrants will be exercisable until January 15, 2031.</w:t>
      </w:r>
    </w:p>
    <w:p>
      <w:pPr>
        <w:spacing w:after="0" w:line="20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Incentive Plans</w:t>
      </w:r>
    </w:p>
    <w:p>
      <w:pPr>
        <w:spacing w:after="0" w:line="97" w:lineRule="exact"/>
        <w:rPr>
          <w:sz w:val="20"/>
          <w:szCs w:val="20"/>
          <w:color w:val="auto"/>
        </w:rPr>
      </w:pPr>
    </w:p>
    <w:p>
      <w:pPr>
        <w:ind w:left="1520" w:right="419"/>
        <w:spacing w:after="0" w:line="278" w:lineRule="auto"/>
        <w:rPr>
          <w:sz w:val="20"/>
          <w:szCs w:val="20"/>
          <w:color w:val="auto"/>
        </w:rPr>
      </w:pPr>
      <w:r>
        <w:rPr>
          <w:rFonts w:ascii="Times New Roman" w:cs="Times New Roman" w:eastAsia="Times New Roman" w:hAnsi="Times New Roman"/>
          <w:sz w:val="13"/>
          <w:szCs w:val="13"/>
          <w:color w:val="auto"/>
        </w:rPr>
        <w:t>As of May 27, 2026, there were 724,522 shares of our common stock reserved for future issuance under our 2020 Stock Incentive Plan, as amended, and 44,840 shares of our common stock reserved for future issuance under our Amended and Restated 2015 New Employment Incentive Plan (as inducement material to certain individuals entering into employment with us in accordance with Nasdaq Listing Rule 5635(c)(4)).</w:t>
      </w:r>
    </w:p>
    <w:p>
      <w:pPr>
        <w:spacing w:after="0" w:line="20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Description of Certain Provisions of Delaware Law and our Charter and Bylaws</w:t>
      </w:r>
    </w:p>
    <w:p>
      <w:pPr>
        <w:spacing w:after="0" w:line="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Section 203 of the Delaware General Corporation Law</w:t>
      </w:r>
    </w:p>
    <w:p>
      <w:pPr>
        <w:spacing w:after="0" w:line="97" w:lineRule="exact"/>
        <w:rPr>
          <w:sz w:val="20"/>
          <w:szCs w:val="20"/>
          <w:color w:val="auto"/>
        </w:rPr>
      </w:pPr>
    </w:p>
    <w:p>
      <w:pPr>
        <w:ind w:left="1520" w:right="419"/>
        <w:spacing w:after="0" w:line="272" w:lineRule="auto"/>
        <w:rPr>
          <w:sz w:val="20"/>
          <w:szCs w:val="20"/>
          <w:color w:val="auto"/>
        </w:rPr>
      </w:pPr>
      <w:r>
        <w:rPr>
          <w:rFonts w:ascii="Times New Roman" w:cs="Times New Roman" w:eastAsia="Times New Roman" w:hAnsi="Times New Roman"/>
          <w:sz w:val="13"/>
          <w:szCs w:val="13"/>
          <w:color w:val="auto"/>
        </w:rPr>
        <w:t>We are subject to the provisions of Section 203 of the Delaware General Corporation Law (the “DGCL”). In general, Section 203 of the DGCL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of the DGCL, a business combination between a corporation and an interested stockholder is prohibited unless it satisfies one of the following conditions:</w:t>
      </w:r>
    </w:p>
    <w:p>
      <w:pPr>
        <w:spacing w:after="0" w:line="59" w:lineRule="exact"/>
        <w:rPr>
          <w:sz w:val="20"/>
          <w:szCs w:val="20"/>
          <w:color w:val="auto"/>
        </w:rPr>
      </w:pPr>
    </w:p>
    <w:p>
      <w:pPr>
        <w:ind w:left="2260" w:right="619" w:hanging="331"/>
        <w:spacing w:after="0" w:line="298" w:lineRule="auto"/>
        <w:tabs>
          <w:tab w:leader="none" w:pos="2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date of the transaction, the board of directors of the corporation approved either the business combination or the transaction which resulted in the stockholder becoming an interested stockholder;</w:t>
      </w:r>
    </w:p>
    <w:p>
      <w:pPr>
        <w:spacing w:after="0" w:line="42" w:lineRule="exact"/>
        <w:rPr>
          <w:rFonts w:ascii="Times New Roman" w:cs="Times New Roman" w:eastAsia="Times New Roman" w:hAnsi="Times New Roman"/>
          <w:sz w:val="13"/>
          <w:szCs w:val="13"/>
          <w:color w:val="auto"/>
        </w:rPr>
      </w:pPr>
    </w:p>
    <w:p>
      <w:pPr>
        <w:jc w:val="both"/>
        <w:ind w:left="2260" w:right="579" w:hanging="331"/>
        <w:spacing w:after="0" w:line="272" w:lineRule="auto"/>
        <w:tabs>
          <w:tab w:leader="none" w:pos="2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interested stockholder owned at least 85% of the voting stock of the corporation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59" w:lineRule="exact"/>
        <w:rPr>
          <w:rFonts w:ascii="Times New Roman" w:cs="Times New Roman" w:eastAsia="Times New Roman" w:hAnsi="Times New Roman"/>
          <w:sz w:val="13"/>
          <w:szCs w:val="13"/>
          <w:color w:val="auto"/>
        </w:rPr>
      </w:pPr>
    </w:p>
    <w:p>
      <w:pPr>
        <w:ind w:left="2260" w:right="459" w:hanging="331"/>
        <w:spacing w:after="0" w:line="278" w:lineRule="auto"/>
        <w:tabs>
          <w:tab w:leader="none" w:pos="2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subsequent to the consummation of the transaction, the business combination is approved by the board of directors and authorized at an annual or special meeting of stockholders, and not by written consent, by the affirmative vote of at least 66-2/3% of the outstanding voting stock which is not owned by the interested stockholder.</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Section 203 of the DGCL defines a business combination to include:</w:t>
      </w:r>
    </w:p>
    <w:p>
      <w:pPr>
        <w:spacing w:after="0" w:line="103" w:lineRule="exact"/>
        <w:rPr>
          <w:sz w:val="20"/>
          <w:szCs w:val="20"/>
          <w:color w:val="auto"/>
        </w:rPr>
      </w:pPr>
    </w:p>
    <w:p>
      <w:pPr>
        <w:ind w:left="5580" w:right="3319" w:hanging="3651"/>
        <w:spacing w:after="0" w:line="476" w:lineRule="auto"/>
        <w:tabs>
          <w:tab w:leader="none" w:pos="2255"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merger or consolidation involving the corporation and the interested stockholder; 14</w:t>
      </w:r>
    </w:p>
    <w:p>
      <w:pPr>
        <w:sectPr>
          <w:pgSz w:w="11900" w:h="16838" w:orient="portrait"/>
          <w:cols w:equalWidth="0" w:num="1">
            <w:col w:w="10159"/>
          </w:cols>
          <w:pgMar w:left="300" w:top="37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2260" w:hanging="331"/>
        <w:spacing w:after="0"/>
        <w:tabs>
          <w:tab w:leader="none" w:pos="2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sale, transfer, lease, pledge or other disposition involving the interested stockholder of 10% or more of the assets of the corporation;</w:t>
      </w:r>
    </w:p>
    <w:p>
      <w:pPr>
        <w:spacing w:after="0" w:line="102" w:lineRule="exact"/>
        <w:rPr>
          <w:rFonts w:ascii="Times New Roman" w:cs="Times New Roman" w:eastAsia="Times New Roman" w:hAnsi="Times New Roman"/>
          <w:sz w:val="13"/>
          <w:szCs w:val="13"/>
          <w:color w:val="auto"/>
        </w:rPr>
      </w:pPr>
    </w:p>
    <w:p>
      <w:pPr>
        <w:ind w:left="2260" w:right="819" w:hanging="331"/>
        <w:spacing w:after="0" w:line="298" w:lineRule="auto"/>
        <w:tabs>
          <w:tab w:leader="none" w:pos="2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exceptions, any transaction that results in the issuance or transfer by the corporation of any stock of the corporation to the interested stockholder;</w:t>
      </w:r>
    </w:p>
    <w:p>
      <w:pPr>
        <w:spacing w:after="0" w:line="42" w:lineRule="exact"/>
        <w:rPr>
          <w:rFonts w:ascii="Times New Roman" w:cs="Times New Roman" w:eastAsia="Times New Roman" w:hAnsi="Times New Roman"/>
          <w:sz w:val="13"/>
          <w:szCs w:val="13"/>
          <w:color w:val="auto"/>
        </w:rPr>
      </w:pPr>
    </w:p>
    <w:p>
      <w:pPr>
        <w:ind w:left="2260" w:right="459" w:hanging="331"/>
        <w:spacing w:after="0" w:line="298" w:lineRule="auto"/>
        <w:tabs>
          <w:tab w:leader="none" w:pos="2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42" w:lineRule="exact"/>
        <w:rPr>
          <w:rFonts w:ascii="Times New Roman" w:cs="Times New Roman" w:eastAsia="Times New Roman" w:hAnsi="Times New Roman"/>
          <w:sz w:val="13"/>
          <w:szCs w:val="13"/>
          <w:color w:val="auto"/>
        </w:rPr>
      </w:pPr>
    </w:p>
    <w:p>
      <w:pPr>
        <w:ind w:left="2260" w:right="539" w:hanging="331"/>
        <w:spacing w:after="0" w:line="298" w:lineRule="auto"/>
        <w:tabs>
          <w:tab w:leader="none" w:pos="2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by the interested stockholder of the benefit of any loans, advances, guarantees, pledges or other financial benefits provided by or through the corporation.</w:t>
      </w:r>
    </w:p>
    <w:p>
      <w:pPr>
        <w:spacing w:after="0" w:line="113" w:lineRule="exact"/>
        <w:rPr>
          <w:sz w:val="20"/>
          <w:szCs w:val="20"/>
          <w:color w:val="auto"/>
        </w:rPr>
      </w:pPr>
    </w:p>
    <w:p>
      <w:pPr>
        <w:ind w:left="1520" w:right="739"/>
        <w:spacing w:after="0" w:line="298" w:lineRule="auto"/>
        <w:rPr>
          <w:sz w:val="20"/>
          <w:szCs w:val="20"/>
          <w:color w:val="auto"/>
        </w:rPr>
      </w:pPr>
      <w:r>
        <w:rPr>
          <w:rFonts w:ascii="Times New Roman" w:cs="Times New Roman" w:eastAsia="Times New Roman" w:hAnsi="Times New Roman"/>
          <w:sz w:val="13"/>
          <w:szCs w:val="13"/>
          <w:color w:val="auto"/>
        </w:rPr>
        <w:t>In general, Section 203 of the DGCL defines an interested stockholder as any entity or person beneficially owning 15% or more of the outstanding voting stock of the corporation and any entity or person affiliated with or controlling or controlled by the entity or person.</w:t>
      </w:r>
    </w:p>
    <w:p>
      <w:pPr>
        <w:spacing w:after="0" w:line="1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Anti-takeover Provisions</w:t>
      </w:r>
    </w:p>
    <w:p>
      <w:pPr>
        <w:spacing w:after="0" w:line="97" w:lineRule="exact"/>
        <w:rPr>
          <w:sz w:val="20"/>
          <w:szCs w:val="20"/>
          <w:color w:val="auto"/>
        </w:rPr>
      </w:pPr>
    </w:p>
    <w:p>
      <w:pPr>
        <w:ind w:left="1520" w:right="499"/>
        <w:spacing w:after="0" w:line="278" w:lineRule="auto"/>
        <w:rPr>
          <w:sz w:val="20"/>
          <w:szCs w:val="20"/>
          <w:color w:val="auto"/>
        </w:rPr>
      </w:pPr>
      <w:r>
        <w:rPr>
          <w:rFonts w:ascii="Times New Roman" w:cs="Times New Roman" w:eastAsia="Times New Roman" w:hAnsi="Times New Roman"/>
          <w:sz w:val="13"/>
          <w:szCs w:val="13"/>
          <w:color w:val="auto"/>
        </w:rPr>
        <w:t>Certain provisions of our Charter and Bylaws, which are summarized below, may have the effect of delaying, deferring or preventing another person from acquiring control of the Company. These provisions may discourage takeovers, coercive or otherwise, and are also designed, in part, to encourage persons seeking to acquire control of the Company to negotiate first with our board of directors. These provisions include the following:</w:t>
      </w:r>
    </w:p>
    <w:p>
      <w:pPr>
        <w:spacing w:after="0" w:line="125" w:lineRule="exact"/>
        <w:rPr>
          <w:sz w:val="20"/>
          <w:szCs w:val="20"/>
          <w:color w:val="auto"/>
        </w:rPr>
      </w:pPr>
    </w:p>
    <w:p>
      <w:pPr>
        <w:ind w:left="1520" w:right="519"/>
        <w:spacing w:after="0" w:line="273" w:lineRule="auto"/>
        <w:rPr>
          <w:sz w:val="20"/>
          <w:szCs w:val="20"/>
          <w:color w:val="auto"/>
        </w:rPr>
      </w:pPr>
      <w:r>
        <w:rPr>
          <w:rFonts w:ascii="Times New Roman" w:cs="Times New Roman" w:eastAsia="Times New Roman" w:hAnsi="Times New Roman"/>
          <w:sz w:val="13"/>
          <w:szCs w:val="13"/>
          <w:i w:val="1"/>
          <w:iCs w:val="1"/>
          <w:color w:val="auto"/>
        </w:rPr>
        <w:t>Board Vacancies</w:t>
      </w:r>
      <w:r>
        <w:rPr>
          <w:rFonts w:ascii="Times New Roman" w:cs="Times New Roman" w:eastAsia="Times New Roman" w:hAnsi="Times New Roman"/>
          <w:sz w:val="13"/>
          <w:szCs w:val="13"/>
          <w:color w:val="auto"/>
        </w:rPr>
        <w:t>. Our Bylaws provide that any vacancy or vacancies in the Board shall be deemed to exist in the case of the death, resignation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removal of any director, or if the authorized number of directors be increased. Vacancies may be filled by a majority of the remaining directors, though less than a quorum, or by a sole remaining director, unless otherwise provided in our Charter. The stockholders may elect a director or directors at any time to fill any vacancy or vacancies not filled by the directors.</w:t>
      </w:r>
    </w:p>
    <w:p>
      <w:pPr>
        <w:spacing w:after="0" w:line="127" w:lineRule="exact"/>
        <w:rPr>
          <w:sz w:val="20"/>
          <w:szCs w:val="20"/>
          <w:color w:val="auto"/>
        </w:rPr>
      </w:pPr>
    </w:p>
    <w:p>
      <w:pPr>
        <w:ind w:left="1520" w:right="43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Stockholder Action; Special Meeting of Stockholders. </w:t>
      </w:r>
      <w:r>
        <w:rPr>
          <w:rFonts w:ascii="Times New Roman" w:cs="Times New Roman" w:eastAsia="Times New Roman" w:hAnsi="Times New Roman"/>
          <w:sz w:val="13"/>
          <w:szCs w:val="13"/>
          <w:color w:val="auto"/>
        </w:rPr>
        <w:t>Pursuant to Section 228 of the DGCL, any action required to be taken at any annual or special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stock entitled to vote thereon were present and voted, unless our Charter provides otherwise. Our Charter provides that stockholders may not take action by written consent but may only take action at annual or special meetings of stockholders. As a result, a holder controlling a majority of our capital stock would not be able to amend our Bylaws or remove directors without holding a meeting of stockholders called in accordance with our Bylaws. Our Bylaws provide that special meetings of the stockholders may be called only at the request of our president, chief executive officer or chairman of our board of directors or by a majority of our board of directors. These provisions might delay the ability of our stockholders to force consideration of a proposal or for stockholders controlling a majority of our capital stock to take any action, including the removal of directors.</w:t>
      </w:r>
    </w:p>
    <w:p>
      <w:pPr>
        <w:spacing w:after="0" w:line="297" w:lineRule="exact"/>
        <w:rPr>
          <w:sz w:val="20"/>
          <w:szCs w:val="20"/>
          <w:color w:val="auto"/>
        </w:rPr>
      </w:pPr>
    </w:p>
    <w:p>
      <w:pPr>
        <w:ind w:left="1520" w:right="399"/>
        <w:spacing w:after="0" w:line="266" w:lineRule="auto"/>
        <w:rPr>
          <w:sz w:val="20"/>
          <w:szCs w:val="20"/>
          <w:color w:val="auto"/>
        </w:rPr>
      </w:pPr>
      <w:r>
        <w:rPr>
          <w:rFonts w:ascii="Times New Roman" w:cs="Times New Roman" w:eastAsia="Times New Roman" w:hAnsi="Times New Roman"/>
          <w:sz w:val="13"/>
          <w:szCs w:val="13"/>
          <w:i w:val="1"/>
          <w:iCs w:val="1"/>
          <w:color w:val="auto"/>
        </w:rPr>
        <w:t>Advance Notice Requirements for Stockholder Proposals and Director Nominations</w:t>
      </w:r>
      <w:r>
        <w:rPr>
          <w:rFonts w:ascii="Times New Roman" w:cs="Times New Roman" w:eastAsia="Times New Roman" w:hAnsi="Times New Roman"/>
          <w:sz w:val="13"/>
          <w:szCs w:val="13"/>
          <w:color w:val="auto"/>
        </w:rPr>
        <w:t>. Our Bylaws provide advance notice procedures for stockholders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seeking to bring business before our annual meeting of stockholders or to nominate candidates for election as directors at our annual meeting of stockholders. Our Bylaws specify certain requirements regarding the form and content of a stockholder’s notice and prohibit the conduct of any business at a special meeting other than as specified in the notice for such meeting. These provisions might preclude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0159"/>
          </w:cols>
          <w:pgMar w:left="300" w:top="375"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6" w:lineRule="exact"/>
        <w:rPr>
          <w:sz w:val="20"/>
          <w:szCs w:val="20"/>
          <w:color w:val="auto"/>
        </w:rPr>
      </w:pPr>
    </w:p>
    <w:p>
      <w:pPr>
        <w:ind w:left="1520" w:right="799"/>
        <w:spacing w:after="0" w:line="301" w:lineRule="auto"/>
        <w:rPr>
          <w:sz w:val="20"/>
          <w:szCs w:val="20"/>
          <w:color w:val="auto"/>
        </w:rPr>
      </w:pPr>
      <w:r>
        <w:rPr>
          <w:rFonts w:ascii="Times New Roman" w:cs="Times New Roman" w:eastAsia="Times New Roman" w:hAnsi="Times New Roman"/>
          <w:sz w:val="13"/>
          <w:szCs w:val="13"/>
          <w:i w:val="1"/>
          <w:iCs w:val="1"/>
          <w:color w:val="auto"/>
        </w:rPr>
        <w:t>No Cumulative Voting</w:t>
      </w:r>
      <w:r>
        <w:rPr>
          <w:rFonts w:ascii="Times New Roman" w:cs="Times New Roman" w:eastAsia="Times New Roman" w:hAnsi="Times New Roman"/>
          <w:sz w:val="13"/>
          <w:szCs w:val="13"/>
          <w:color w:val="auto"/>
        </w:rPr>
        <w:t>. The DGCL provides that stockholders are denied the right to cumulate votes in the election of directors unless our Charter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provides otherwise. Our Charter and Bylaws do not provide for cumulative voting.</w:t>
      </w:r>
    </w:p>
    <w:p>
      <w:pPr>
        <w:spacing w:after="0" w:line="110" w:lineRule="exact"/>
        <w:rPr>
          <w:sz w:val="20"/>
          <w:szCs w:val="20"/>
          <w:color w:val="auto"/>
        </w:rPr>
      </w:pPr>
    </w:p>
    <w:p>
      <w:pPr>
        <w:ind w:left="1520" w:right="779"/>
        <w:spacing w:after="0" w:line="301" w:lineRule="auto"/>
        <w:rPr>
          <w:sz w:val="20"/>
          <w:szCs w:val="20"/>
          <w:color w:val="auto"/>
        </w:rPr>
      </w:pPr>
      <w:r>
        <w:rPr>
          <w:rFonts w:ascii="Times New Roman" w:cs="Times New Roman" w:eastAsia="Times New Roman" w:hAnsi="Times New Roman"/>
          <w:sz w:val="13"/>
          <w:szCs w:val="13"/>
          <w:i w:val="1"/>
          <w:iCs w:val="1"/>
          <w:color w:val="auto"/>
        </w:rPr>
        <w:t>Amendment of Charter Provisions and Bylaws</w:t>
      </w:r>
      <w:r>
        <w:rPr>
          <w:rFonts w:ascii="Times New Roman" w:cs="Times New Roman" w:eastAsia="Times New Roman" w:hAnsi="Times New Roman"/>
          <w:sz w:val="13"/>
          <w:szCs w:val="13"/>
          <w:color w:val="auto"/>
        </w:rPr>
        <w:t>. Our Charter provides that our Bylaws may be adopted, amended, altered or repealed by a vote of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majority of the total number of directors of our board of directors.</w:t>
      </w:r>
    </w:p>
    <w:p>
      <w:pPr>
        <w:spacing w:after="0" w:line="110" w:lineRule="exact"/>
        <w:rPr>
          <w:sz w:val="20"/>
          <w:szCs w:val="20"/>
          <w:color w:val="auto"/>
        </w:rPr>
      </w:pPr>
    </w:p>
    <w:p>
      <w:pPr>
        <w:ind w:left="1520" w:right="539"/>
        <w:spacing w:after="0" w:line="273" w:lineRule="auto"/>
        <w:rPr>
          <w:sz w:val="20"/>
          <w:szCs w:val="20"/>
          <w:color w:val="auto"/>
        </w:rPr>
      </w:pPr>
      <w:r>
        <w:rPr>
          <w:rFonts w:ascii="Times New Roman" w:cs="Times New Roman" w:eastAsia="Times New Roman" w:hAnsi="Times New Roman"/>
          <w:sz w:val="13"/>
          <w:szCs w:val="13"/>
          <w:i w:val="1"/>
          <w:iCs w:val="1"/>
          <w:color w:val="auto"/>
        </w:rPr>
        <w:t>Issuance of Undesignated Preferred Stock</w:t>
      </w:r>
      <w:r>
        <w:rPr>
          <w:rFonts w:ascii="Times New Roman" w:cs="Times New Roman" w:eastAsia="Times New Roman" w:hAnsi="Times New Roman"/>
          <w:sz w:val="13"/>
          <w:szCs w:val="13"/>
          <w:color w:val="auto"/>
        </w:rPr>
        <w:t>. The authority possessed by our board of directors to issue preferred stock could potentially be used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discourage attempts by third parties to obtain control of our company through a merger, tender offer, proxy contest or otherwise by making such attempts more difficult or more costly. Our board of directors may issue preferred stock with voting rights or conversion rights that, if exercised, could adversely affect the voting power of the holders of common stock.</w:t>
      </w:r>
    </w:p>
    <w:p>
      <w:pPr>
        <w:spacing w:after="0" w:line="127" w:lineRule="exact"/>
        <w:rPr>
          <w:sz w:val="20"/>
          <w:szCs w:val="20"/>
          <w:color w:val="auto"/>
        </w:rPr>
      </w:pPr>
    </w:p>
    <w:p>
      <w:pPr>
        <w:ind w:left="1520" w:right="499"/>
        <w:spacing w:after="0" w:line="273" w:lineRule="auto"/>
        <w:rPr>
          <w:sz w:val="20"/>
          <w:szCs w:val="20"/>
          <w:color w:val="auto"/>
        </w:rPr>
      </w:pPr>
      <w:r>
        <w:rPr>
          <w:rFonts w:ascii="Times New Roman" w:cs="Times New Roman" w:eastAsia="Times New Roman" w:hAnsi="Times New Roman"/>
          <w:sz w:val="13"/>
          <w:szCs w:val="13"/>
          <w:i w:val="1"/>
          <w:iCs w:val="1"/>
          <w:color w:val="auto"/>
        </w:rPr>
        <w:t xml:space="preserve">Authorized but Unissued Shares. </w:t>
      </w:r>
      <w:r>
        <w:rPr>
          <w:rFonts w:ascii="Times New Roman" w:cs="Times New Roman" w:eastAsia="Times New Roman" w:hAnsi="Times New Roman"/>
          <w:sz w:val="13"/>
          <w:szCs w:val="13"/>
          <w:color w:val="auto"/>
        </w:rPr>
        <w:t>Our authorized but unissued shares of common stock and preferred stock will be available for future issuance without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stockholder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us by means of a proxy contest, tender offer, merger or otherwise.</w:t>
      </w:r>
    </w:p>
    <w:p>
      <w:pPr>
        <w:spacing w:after="0" w:line="20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The Nasdaq Capital Market</w:t>
      </w:r>
    </w:p>
    <w:p>
      <w:pPr>
        <w:spacing w:after="0" w:line="9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Our shares of common stock are listed for trading on the Nasdaq Capital Market under the symbol “PSTV.”</w:t>
      </w:r>
    </w:p>
    <w:p>
      <w:pPr>
        <w:spacing w:after="0" w:line="2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Transfer Agent and Registrar</w:t>
      </w:r>
    </w:p>
    <w:p>
      <w:pPr>
        <w:spacing w:after="0" w:line="9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The transfer agent and registrar for our common stock is Nevada Agency and Transfer Company.</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10159"/>
          </w:cols>
          <w:pgMar w:left="300" w:top="375"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DESCRIPTION OF OUR PREFERRED STOCK</w:t>
      </w:r>
    </w:p>
    <w:p>
      <w:pPr>
        <w:spacing w:after="0" w:line="178" w:lineRule="exact"/>
        <w:rPr>
          <w:sz w:val="20"/>
          <w:szCs w:val="20"/>
          <w:color w:val="auto"/>
        </w:rPr>
      </w:pPr>
    </w:p>
    <w:p>
      <w:pPr>
        <w:ind w:left="1520" w:right="579"/>
        <w:spacing w:after="0" w:line="278" w:lineRule="auto"/>
        <w:rPr>
          <w:sz w:val="20"/>
          <w:szCs w:val="20"/>
          <w:color w:val="auto"/>
        </w:rPr>
      </w:pPr>
      <w:r>
        <w:rPr>
          <w:rFonts w:ascii="Times New Roman" w:cs="Times New Roman" w:eastAsia="Times New Roman" w:hAnsi="Times New Roman"/>
          <w:sz w:val="13"/>
          <w:szCs w:val="13"/>
          <w:color w:val="auto"/>
        </w:rPr>
        <w:t>We are authorized to issue up to 5,000,000 shares of preferred stock, par value $0.001 per share, of which, as of May 27, 2026, there were 938 outstanding shares of Series C Preferred Stock that can be converted into an aggregate of 1,111 shares of common stock, and 1,014 shares of Series B Convertible Preferred Stock that can be converted into an aggregate of 15 shares of common stock.</w:t>
      </w:r>
    </w:p>
    <w:p>
      <w:pPr>
        <w:spacing w:after="0" w:line="127" w:lineRule="exact"/>
        <w:rPr>
          <w:sz w:val="20"/>
          <w:szCs w:val="20"/>
          <w:color w:val="auto"/>
        </w:rPr>
      </w:pPr>
    </w:p>
    <w:p>
      <w:pPr>
        <w:ind w:left="1520" w:right="399"/>
        <w:spacing w:after="0" w:line="262" w:lineRule="auto"/>
        <w:rPr>
          <w:sz w:val="20"/>
          <w:szCs w:val="20"/>
          <w:color w:val="auto"/>
        </w:rPr>
      </w:pPr>
      <w:r>
        <w:rPr>
          <w:rFonts w:ascii="Times New Roman" w:cs="Times New Roman" w:eastAsia="Times New Roman" w:hAnsi="Times New Roman"/>
          <w:sz w:val="13"/>
          <w:szCs w:val="13"/>
          <w:color w:val="auto"/>
        </w:rPr>
        <w:t>Our Board may, without further action by our stockholders, from time to time, direct the issuance of shares of preferred stock in series and may, at the time of issuance, determine and fix the number of shares of such series and the designation of such series, the voting powers, if any, of the shares of such series, the preferences and relative, participating, optional or other special rights, if any, and the qualifications, limitations or restrictions thereof, including without limitation thereof, dividend rights, conversion rights, redemption privileges and liquidation preferences, of the shares of such series. Satisfaction of any dividend preferences of outstanding shares of our preferred stock would reduce the amount of funds available for the payment of dividends on shares of our common stock. Holders of shares of our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 It is not possible to state the actual effect of the issuance of any shares of preferred stock on the rights of holders of shares of common stock until our board of directors determines the specific rights attached to that preferred stock.</w:t>
      </w:r>
    </w:p>
    <w:p>
      <w:pPr>
        <w:spacing w:after="0" w:line="2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Series B Preferred Stock</w:t>
      </w:r>
    </w:p>
    <w:p>
      <w:pPr>
        <w:spacing w:after="0" w:line="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Voting Rights</w:t>
      </w:r>
    </w:p>
    <w:p>
      <w:pPr>
        <w:spacing w:after="0" w:line="95" w:lineRule="exact"/>
        <w:rPr>
          <w:sz w:val="20"/>
          <w:szCs w:val="20"/>
          <w:color w:val="auto"/>
        </w:rPr>
      </w:pPr>
    </w:p>
    <w:p>
      <w:pPr>
        <w:ind w:left="1520" w:right="619"/>
        <w:spacing w:after="0" w:line="298" w:lineRule="auto"/>
        <w:rPr>
          <w:sz w:val="20"/>
          <w:szCs w:val="20"/>
          <w:color w:val="auto"/>
        </w:rPr>
      </w:pPr>
      <w:r>
        <w:rPr>
          <w:rFonts w:ascii="Times New Roman" w:cs="Times New Roman" w:eastAsia="Times New Roman" w:hAnsi="Times New Roman"/>
          <w:sz w:val="13"/>
          <w:szCs w:val="13"/>
          <w:color w:val="auto"/>
        </w:rPr>
        <w:t>Except as otherwise provided in the certificate of designation for the Series B Preferred Stock or as otherwise required by law, the Series B Preferred Stock has no voting rights.</w:t>
      </w:r>
    </w:p>
    <w:p>
      <w:pPr>
        <w:spacing w:after="0" w:line="1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Dividends</w:t>
      </w:r>
    </w:p>
    <w:p>
      <w:pPr>
        <w:spacing w:after="0" w:line="95" w:lineRule="exact"/>
        <w:rPr>
          <w:sz w:val="20"/>
          <w:szCs w:val="20"/>
          <w:color w:val="auto"/>
        </w:rPr>
      </w:pPr>
    </w:p>
    <w:p>
      <w:pPr>
        <w:ind w:left="1520" w:right="739"/>
        <w:spacing w:after="0" w:line="298" w:lineRule="auto"/>
        <w:rPr>
          <w:sz w:val="20"/>
          <w:szCs w:val="20"/>
          <w:color w:val="auto"/>
        </w:rPr>
      </w:pPr>
      <w:r>
        <w:rPr>
          <w:rFonts w:ascii="Times New Roman" w:cs="Times New Roman" w:eastAsia="Times New Roman" w:hAnsi="Times New Roman"/>
          <w:sz w:val="13"/>
          <w:szCs w:val="13"/>
          <w:color w:val="auto"/>
        </w:rPr>
        <w:t>Holders of Series B Preferred Stock are entitled to receive dividends (on an as-if-converted-to-common-stock basis) in the same form as dividends actually paid on shares of the common stock when, as and if such dividends are paid on shares of common stock.</w:t>
      </w:r>
    </w:p>
    <w:p>
      <w:pPr>
        <w:spacing w:after="0" w:line="1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Liquidation Preference</w:t>
      </w:r>
    </w:p>
    <w:p>
      <w:pPr>
        <w:spacing w:after="0" w:line="95" w:lineRule="exact"/>
        <w:rPr>
          <w:sz w:val="20"/>
          <w:szCs w:val="20"/>
          <w:color w:val="auto"/>
        </w:rPr>
      </w:pPr>
    </w:p>
    <w:p>
      <w:pPr>
        <w:ind w:left="1520" w:right="479"/>
        <w:spacing w:after="0" w:line="278" w:lineRule="auto"/>
        <w:rPr>
          <w:sz w:val="20"/>
          <w:szCs w:val="20"/>
          <w:color w:val="auto"/>
        </w:rPr>
      </w:pPr>
      <w:r>
        <w:rPr>
          <w:rFonts w:ascii="Times New Roman" w:cs="Times New Roman" w:eastAsia="Times New Roman" w:hAnsi="Times New Roman"/>
          <w:sz w:val="13"/>
          <w:szCs w:val="13"/>
          <w:color w:val="auto"/>
        </w:rPr>
        <w:t>Upon our liquidation, dissolution or winding-up, whether voluntary or involuntary, holders of Series B Preferred Stock will be entitled to receive out of our assets, whether capital or surplus, an amount equal to the $1,000 stated value per share for each share of Series B Preferred Stock before any distribution or payment is paid to the holders of our shares of common stock.</w:t>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Conversion</w:t>
      </w:r>
    </w:p>
    <w:p>
      <w:pPr>
        <w:spacing w:after="0" w:line="95" w:lineRule="exact"/>
        <w:rPr>
          <w:sz w:val="20"/>
          <w:szCs w:val="20"/>
          <w:color w:val="auto"/>
        </w:rPr>
      </w:pPr>
    </w:p>
    <w:p>
      <w:pPr>
        <w:ind w:left="1520" w:right="499"/>
        <w:spacing w:after="0" w:line="267" w:lineRule="auto"/>
        <w:rPr>
          <w:sz w:val="20"/>
          <w:szCs w:val="20"/>
          <w:color w:val="auto"/>
        </w:rPr>
      </w:pPr>
      <w:r>
        <w:rPr>
          <w:rFonts w:ascii="Times New Roman" w:cs="Times New Roman" w:eastAsia="Times New Roman" w:hAnsi="Times New Roman"/>
          <w:sz w:val="13"/>
          <w:szCs w:val="13"/>
          <w:color w:val="auto"/>
        </w:rPr>
        <w:t>Each share of Series B Preferred Stock is convertible, at our option or at the option of the holder, at any time, into the number of shares of our common stock determined by dividing the $1,000 stated value per share of the Series B Preferred Stock by a conversion price of $67,600 per share. In addition, the conversion price per share is subject to adjustment for stock dividends, distributions, subdivisions, combinations or reclassifications. Subject to limited exceptions, a holder of the Series B Preferred Stock will not have the right to convert any portion of the Series B Preferred Stock to the extent that, after giving effect to the conversion, the holder, together with its affiliates, would beneficially own in excess of 9.99% of the number of shares of our common stock outstanding immediately after giving effect to its conversion.</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10159"/>
          </w:cols>
          <w:pgMar w:left="300" w:top="375"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Fundamental Transactions</w:t>
      </w:r>
    </w:p>
    <w:p>
      <w:pPr>
        <w:spacing w:after="0" w:line="95" w:lineRule="exact"/>
        <w:rPr>
          <w:sz w:val="20"/>
          <w:szCs w:val="20"/>
          <w:color w:val="auto"/>
        </w:rPr>
      </w:pPr>
    </w:p>
    <w:p>
      <w:pPr>
        <w:ind w:left="1520" w:right="439"/>
        <w:spacing w:after="0" w:line="265" w:lineRule="auto"/>
        <w:rPr>
          <w:sz w:val="20"/>
          <w:szCs w:val="20"/>
          <w:color w:val="auto"/>
        </w:rPr>
      </w:pPr>
      <w:r>
        <w:rPr>
          <w:rFonts w:ascii="Times New Roman" w:cs="Times New Roman" w:eastAsia="Times New Roman" w:hAnsi="Times New Roman"/>
          <w:sz w:val="13"/>
          <w:szCs w:val="13"/>
          <w:color w:val="auto"/>
        </w:rPr>
        <w:t>In the event we effect certain mergers, consolidations, sales of substantially all of our assets, tender or exchange offers, reclassifications or share exchanges in which our shares of common stock are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shares of common stock, then, upon any subsequent conversion of the Series B Preferred Stock, a holder of the Series B Preferred Stock will have the right to receive any shares of the acquiring corporation or other consideration it would have been entitled to receive if it had been a holder of the number of shares of common stock then issuable upon conversion in full of the Series B Preferred Stock.</w:t>
      </w:r>
    </w:p>
    <w:p>
      <w:pPr>
        <w:spacing w:after="0" w:line="2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Redemption Rights</w:t>
      </w:r>
    </w:p>
    <w:p>
      <w:pPr>
        <w:spacing w:after="0" w:line="95" w:lineRule="exact"/>
        <w:rPr>
          <w:sz w:val="20"/>
          <w:szCs w:val="20"/>
          <w:color w:val="auto"/>
        </w:rPr>
      </w:pPr>
    </w:p>
    <w:p>
      <w:pPr>
        <w:ind w:left="1520" w:right="619"/>
        <w:spacing w:after="0" w:line="298" w:lineRule="auto"/>
        <w:rPr>
          <w:sz w:val="20"/>
          <w:szCs w:val="20"/>
          <w:color w:val="auto"/>
        </w:rPr>
      </w:pPr>
      <w:r>
        <w:rPr>
          <w:rFonts w:ascii="Times New Roman" w:cs="Times New Roman" w:eastAsia="Times New Roman" w:hAnsi="Times New Roman"/>
          <w:sz w:val="13"/>
          <w:szCs w:val="13"/>
          <w:color w:val="auto"/>
        </w:rPr>
        <w:t>We are not obligated to redeem or repurchase any shares of Series B Preferred Stock. Shares of Series B Preferred Stock are not otherwise entitled to any redemption rights.</w:t>
      </w:r>
    </w:p>
    <w:p>
      <w:pPr>
        <w:spacing w:after="0" w:line="1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Series C Preferred Stock</w:t>
      </w:r>
    </w:p>
    <w:p>
      <w:pPr>
        <w:spacing w:after="0" w:line="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Voting Rights</w:t>
      </w:r>
    </w:p>
    <w:p>
      <w:pPr>
        <w:spacing w:after="0" w:line="95" w:lineRule="exact"/>
        <w:rPr>
          <w:sz w:val="20"/>
          <w:szCs w:val="20"/>
          <w:color w:val="auto"/>
        </w:rPr>
      </w:pPr>
    </w:p>
    <w:p>
      <w:pPr>
        <w:ind w:left="1520" w:right="619"/>
        <w:spacing w:after="0" w:line="298" w:lineRule="auto"/>
        <w:rPr>
          <w:sz w:val="20"/>
          <w:szCs w:val="20"/>
          <w:color w:val="auto"/>
        </w:rPr>
      </w:pPr>
      <w:r>
        <w:rPr>
          <w:rFonts w:ascii="Times New Roman" w:cs="Times New Roman" w:eastAsia="Times New Roman" w:hAnsi="Times New Roman"/>
          <w:sz w:val="13"/>
          <w:szCs w:val="13"/>
          <w:color w:val="auto"/>
        </w:rPr>
        <w:t>Except as otherwise provided in the certificate of designation for the Series C Preferred Stock or as otherwise required by law, the Series C Preferred Stock has no voting rights.</w:t>
      </w:r>
    </w:p>
    <w:p>
      <w:pPr>
        <w:spacing w:after="0" w:line="1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Dividends</w:t>
      </w:r>
    </w:p>
    <w:p>
      <w:pPr>
        <w:spacing w:after="0" w:line="95" w:lineRule="exact"/>
        <w:rPr>
          <w:sz w:val="20"/>
          <w:szCs w:val="20"/>
          <w:color w:val="auto"/>
        </w:rPr>
      </w:pPr>
    </w:p>
    <w:p>
      <w:pPr>
        <w:ind w:left="1520" w:right="739"/>
        <w:spacing w:after="0" w:line="298" w:lineRule="auto"/>
        <w:rPr>
          <w:sz w:val="20"/>
          <w:szCs w:val="20"/>
          <w:color w:val="auto"/>
        </w:rPr>
      </w:pPr>
      <w:r>
        <w:rPr>
          <w:rFonts w:ascii="Times New Roman" w:cs="Times New Roman" w:eastAsia="Times New Roman" w:hAnsi="Times New Roman"/>
          <w:sz w:val="13"/>
          <w:szCs w:val="13"/>
          <w:color w:val="auto"/>
        </w:rPr>
        <w:t>Holders of Series C Preferred Stock are entitled to receive dividends (on an as-if-converted-to-common-stock basis) in the same form as dividends actually paid on shares of the common stock when, as and if such dividends are paid on shares of common stock.</w:t>
      </w:r>
    </w:p>
    <w:p>
      <w:pPr>
        <w:spacing w:after="0" w:line="1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Liquidation Preference</w:t>
      </w:r>
    </w:p>
    <w:p>
      <w:pPr>
        <w:spacing w:after="0" w:line="95" w:lineRule="exact"/>
        <w:rPr>
          <w:sz w:val="20"/>
          <w:szCs w:val="20"/>
          <w:color w:val="auto"/>
        </w:rPr>
      </w:pPr>
    </w:p>
    <w:p>
      <w:pPr>
        <w:ind w:left="1520" w:right="479"/>
        <w:spacing w:after="0" w:line="278" w:lineRule="auto"/>
        <w:rPr>
          <w:sz w:val="20"/>
          <w:szCs w:val="20"/>
          <w:color w:val="auto"/>
        </w:rPr>
      </w:pPr>
      <w:r>
        <w:rPr>
          <w:rFonts w:ascii="Times New Roman" w:cs="Times New Roman" w:eastAsia="Times New Roman" w:hAnsi="Times New Roman"/>
          <w:sz w:val="13"/>
          <w:szCs w:val="13"/>
          <w:color w:val="auto"/>
        </w:rPr>
        <w:t>Upon our liquidation, dissolution or winding-up, whether voluntary or involuntary, holders of Series C Preferred Stock will be entitled to receive out of our assets, whether capital or surplus, an amount equal to the $1,000 stated value per share for each share of Series C Preferred Stock before any distribution or payment shall be made to the holders of any junior securities.</w:t>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Conversion</w:t>
      </w:r>
    </w:p>
    <w:p>
      <w:pPr>
        <w:spacing w:after="0" w:line="95" w:lineRule="exact"/>
        <w:rPr>
          <w:sz w:val="20"/>
          <w:szCs w:val="20"/>
          <w:color w:val="auto"/>
        </w:rPr>
      </w:pPr>
    </w:p>
    <w:p>
      <w:pPr>
        <w:ind w:left="1520" w:right="419"/>
        <w:spacing w:after="0" w:line="267" w:lineRule="auto"/>
        <w:rPr>
          <w:sz w:val="20"/>
          <w:szCs w:val="20"/>
          <w:color w:val="auto"/>
        </w:rPr>
      </w:pPr>
      <w:r>
        <w:rPr>
          <w:rFonts w:ascii="Times New Roman" w:cs="Times New Roman" w:eastAsia="Times New Roman" w:hAnsi="Times New Roman"/>
          <w:sz w:val="13"/>
          <w:szCs w:val="13"/>
          <w:color w:val="auto"/>
        </w:rPr>
        <w:t>Each share of Series C Preferred Stock is convertible, at our option at any time, subject to certain conditions, or at the option of the holder at any time, into the number of shares of our common stock determined by dividing the $1,000 stated value per share of the Series C Preferred Stock by a conversion price of $844.28. In addition, the conversion price per share is subject to adjustment for stock dividends, distributions, subdivisions, combinations or reclassifications. Subject to limited exceptions, a holder of the Series C Preferred Stock does not have the right to convert any portion of the Series C Preferred Stock to the extent that, after giving effect to the conversion, the holder, together with its affiliates, would beneficially own in excess of 9.99% of the number of shares of our common stock outstanding immediately after giving effect to its conversion.</w:t>
      </w:r>
    </w:p>
    <w:p>
      <w:pPr>
        <w:spacing w:after="0" w:line="1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Fundamental Transactions</w:t>
      </w:r>
      <w:r>
        <w:rPr>
          <w:rFonts w:ascii="Times New Roman" w:cs="Times New Roman" w:eastAsia="Times New Roman" w:hAnsi="Times New Roman"/>
          <w:sz w:val="13"/>
          <w:szCs w:val="13"/>
          <w:color w:val="auto"/>
        </w:rPr>
        <w:t>.</w:t>
      </w:r>
    </w:p>
    <w:p>
      <w:pPr>
        <w:spacing w:after="0" w:line="176" w:lineRule="exact"/>
        <w:rPr>
          <w:sz w:val="20"/>
          <w:szCs w:val="20"/>
          <w:color w:val="auto"/>
        </w:rPr>
      </w:pPr>
    </w:p>
    <w:p>
      <w:pPr>
        <w:ind w:left="1520" w:right="659"/>
        <w:spacing w:after="0" w:line="278" w:lineRule="auto"/>
        <w:rPr>
          <w:sz w:val="20"/>
          <w:szCs w:val="20"/>
          <w:color w:val="auto"/>
        </w:rPr>
      </w:pPr>
      <w:r>
        <w:rPr>
          <w:rFonts w:ascii="Times New Roman" w:cs="Times New Roman" w:eastAsia="Times New Roman" w:hAnsi="Times New Roman"/>
          <w:sz w:val="13"/>
          <w:szCs w:val="13"/>
          <w:color w:val="auto"/>
        </w:rPr>
        <w:t>In the event we effect certain mergers, consolidations, sales of substantially all of our assets, tender or exchange offers, reclassifications or share exchanges in which our shares of common stock are effectively converted into or exchanged for other securities, cash or property, we consummate a business combination in which another person</w:t>
      </w:r>
    </w:p>
    <w:p>
      <w:pPr>
        <w:spacing w:after="0" w:line="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10159"/>
          </w:cols>
          <w:pgMar w:left="300" w:top="37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20" w:right="439"/>
        <w:spacing w:after="0" w:line="272" w:lineRule="auto"/>
        <w:rPr>
          <w:sz w:val="20"/>
          <w:szCs w:val="20"/>
          <w:color w:val="auto"/>
        </w:rPr>
      </w:pPr>
      <w:r>
        <w:rPr>
          <w:rFonts w:ascii="Times New Roman" w:cs="Times New Roman" w:eastAsia="Times New Roman" w:hAnsi="Times New Roman"/>
          <w:sz w:val="13"/>
          <w:szCs w:val="13"/>
          <w:color w:val="auto"/>
        </w:rPr>
        <w:t>acquires 50% of the outstanding shares of our common stock, or any person or group becomes the beneficial owner of 50% of the aggregate ordinary voting power represented by our issued and outstanding shares of common stock, then, upon any subsequent conversion of the Series C Preferred Stock, a holder of the Series C Preferred Stock will have the right to receive any shares of the acquiring corporation or other consideration it would have been entitled to receive if it had been a holder of the number of shares of common stock then issuable upon conversion in full of the Series C Preferred Stock.</w:t>
      </w:r>
    </w:p>
    <w:p>
      <w:pPr>
        <w:spacing w:after="0" w:line="2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Anti-Dilution</w:t>
      </w:r>
    </w:p>
    <w:p>
      <w:pPr>
        <w:spacing w:after="0" w:line="95" w:lineRule="exact"/>
        <w:rPr>
          <w:sz w:val="20"/>
          <w:szCs w:val="20"/>
          <w:color w:val="auto"/>
        </w:rPr>
      </w:pPr>
    </w:p>
    <w:p>
      <w:pPr>
        <w:ind w:left="1520" w:right="499"/>
        <w:spacing w:after="0" w:line="267" w:lineRule="auto"/>
        <w:rPr>
          <w:sz w:val="20"/>
          <w:szCs w:val="20"/>
          <w:color w:val="auto"/>
        </w:rPr>
      </w:pPr>
      <w:r>
        <w:rPr>
          <w:rFonts w:ascii="Times New Roman" w:cs="Times New Roman" w:eastAsia="Times New Roman" w:hAnsi="Times New Roman"/>
          <w:sz w:val="13"/>
          <w:szCs w:val="13"/>
          <w:color w:val="auto"/>
        </w:rPr>
        <w:t>Subject to certain exceptions contained in the certificate of designation for the Series C Preferred Stock, including our ability to issue securities in connection with equity awards to service providers, strategic transactions, debt financings, research and development partnerships, an equity line of credit, our “at the market” equity offering program and other customary exceptions, if we issue or sell, or are deemed to have issued or sold, any shares of common stock or Common Stock Equivalents (as defined in the certificate of designation) for a consideration per share lower than the conversion price of the Series C Preferred Stock in effect immediately prior to such issuance or sale, or deemed issuance or sale, then the conversion price of the Series C Preferred Stock then in effect will be reduced to an amount equal to such lower price pursuant to the terms of the certificate of designation.</w:t>
      </w:r>
    </w:p>
    <w:p>
      <w:pPr>
        <w:spacing w:after="0" w:line="2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Redemption Rights</w:t>
      </w:r>
    </w:p>
    <w:p>
      <w:pPr>
        <w:spacing w:after="0" w:line="95" w:lineRule="exact"/>
        <w:rPr>
          <w:sz w:val="20"/>
          <w:szCs w:val="20"/>
          <w:color w:val="auto"/>
        </w:rPr>
      </w:pPr>
    </w:p>
    <w:p>
      <w:pPr>
        <w:ind w:left="1520" w:right="619"/>
        <w:spacing w:after="0" w:line="298" w:lineRule="auto"/>
        <w:rPr>
          <w:sz w:val="20"/>
          <w:szCs w:val="20"/>
          <w:color w:val="auto"/>
        </w:rPr>
      </w:pPr>
      <w:r>
        <w:rPr>
          <w:rFonts w:ascii="Times New Roman" w:cs="Times New Roman" w:eastAsia="Times New Roman" w:hAnsi="Times New Roman"/>
          <w:sz w:val="13"/>
          <w:szCs w:val="13"/>
          <w:color w:val="auto"/>
        </w:rPr>
        <w:t>We are not obligated to redeem or repurchase any shares of Series C Preferred Stock. Shares of Series C Preferred Stock are not otherwise entitled to any redemption rights.</w:t>
      </w:r>
    </w:p>
    <w:p>
      <w:pPr>
        <w:spacing w:after="0" w:line="113" w:lineRule="exact"/>
        <w:rPr>
          <w:sz w:val="20"/>
          <w:szCs w:val="20"/>
          <w:color w:val="auto"/>
        </w:rPr>
      </w:pPr>
    </w:p>
    <w:p>
      <w:pPr>
        <w:ind w:left="1520" w:right="519"/>
        <w:spacing w:after="0" w:line="278" w:lineRule="auto"/>
        <w:rPr>
          <w:sz w:val="20"/>
          <w:szCs w:val="20"/>
          <w:color w:val="auto"/>
        </w:rPr>
      </w:pPr>
      <w:r>
        <w:rPr>
          <w:rFonts w:ascii="Times New Roman" w:cs="Times New Roman" w:eastAsia="Times New Roman" w:hAnsi="Times New Roman"/>
          <w:sz w:val="13"/>
          <w:szCs w:val="13"/>
          <w:color w:val="auto"/>
        </w:rPr>
        <w:t>If we offer additional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may include:</w:t>
      </w:r>
    </w:p>
    <w:p>
      <w:pPr>
        <w:spacing w:after="0" w:line="56" w:lineRule="exact"/>
        <w:rPr>
          <w:sz w:val="20"/>
          <w:szCs w:val="20"/>
          <w:color w:val="auto"/>
        </w:rPr>
      </w:pPr>
    </w:p>
    <w:p>
      <w:pPr>
        <w:ind w:left="2260" w:hanging="331"/>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and stated value;</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offered, the liquidation preference per share, and the purchase price;</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dividend rate(s), period(s), and/or payment date(s), or method(s) of calculation for such dividends;</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dividends will be cumulative or non-cumulative and, if cumulative, the date from which dividends will accumulate;</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for a sinking fund, if any;</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for redemption, if applicable;</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listing of the preferred stock on any securities exchange or market;</w:t>
      </w:r>
    </w:p>
    <w:p>
      <w:pPr>
        <w:spacing w:after="0" w:line="102" w:lineRule="exact"/>
        <w:rPr>
          <w:rFonts w:ascii="Times New Roman" w:cs="Times New Roman" w:eastAsia="Times New Roman" w:hAnsi="Times New Roman"/>
          <w:sz w:val="13"/>
          <w:szCs w:val="13"/>
          <w:color w:val="auto"/>
        </w:rPr>
      </w:pPr>
    </w:p>
    <w:p>
      <w:pPr>
        <w:ind w:left="2260" w:right="559" w:hanging="331"/>
        <w:spacing w:after="0" w:line="291" w:lineRule="auto"/>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preferred stock will be convertible into our shares of common stock or our other securities and, if applicable, the conversion price (or how it will be calculated), the conversion period and any other terms of conversion (including any anti-dilution provisions, if any);</w:t>
      </w:r>
    </w:p>
    <w:p>
      <w:pPr>
        <w:spacing w:after="0" w:line="212" w:lineRule="exact"/>
        <w:rPr>
          <w:rFonts w:ascii="Times New Roman" w:cs="Times New Roman" w:eastAsia="Times New Roman" w:hAnsi="Times New Roman"/>
          <w:sz w:val="13"/>
          <w:szCs w:val="13"/>
          <w:color w:val="auto"/>
        </w:rPr>
      </w:pPr>
    </w:p>
    <w:p>
      <w:pPr>
        <w:ind w:left="2260" w:right="519" w:hanging="331"/>
        <w:spacing w:after="0" w:line="298" w:lineRule="auto"/>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preferred stock will be exchangeable into debt securities, and, if applicable, the exchange price (or how it will be calculated), the exchange period and any other terms of exchange (including any anti-dilution provisions, if any);</w:t>
      </w:r>
    </w:p>
    <w:p>
      <w:pPr>
        <w:spacing w:after="0" w:line="4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voting rights, if any, of the preferred stock;</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discussion of any material and/or special U.S. federal income tax considerations applicable to the preferred stock;</w:t>
      </w:r>
    </w:p>
    <w:p>
      <w:pPr>
        <w:spacing w:after="0" w:line="102" w:lineRule="exact"/>
        <w:rPr>
          <w:rFonts w:ascii="Times New Roman" w:cs="Times New Roman" w:eastAsia="Times New Roman" w:hAnsi="Times New Roman"/>
          <w:sz w:val="13"/>
          <w:szCs w:val="13"/>
          <w:color w:val="auto"/>
        </w:rPr>
      </w:pPr>
    </w:p>
    <w:p>
      <w:pPr>
        <w:ind w:left="2260" w:right="559" w:hanging="331"/>
        <w:spacing w:after="0" w:line="298" w:lineRule="auto"/>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relative ranking and preferences of the preferred stock as to dividend rights and rights upon liquidation, dissolution, or winding up of our affairs;</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10159"/>
          </w:cols>
          <w:pgMar w:left="300" w:top="37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2260" w:right="639" w:hanging="331"/>
        <w:spacing w:after="0" w:line="298" w:lineRule="auto"/>
        <w:tabs>
          <w:tab w:leader="none" w:pos="22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material limitations on issuance of any class or series of preferred stock ranking senior to or on a parity with the series of preferred stock as to dividend rights and rights upon our liquidation, dissolution, or winding up; and</w:t>
      </w:r>
    </w:p>
    <w:p>
      <w:pPr>
        <w:spacing w:after="0" w:line="4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affirmative, negative or other covenants or contractual rights which might be attendant with the specific series of preferred stock.</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The preferred stock offered by this prospectus, when issued, will not have, or be subject to, any preemptive or similar rights.</w:t>
      </w:r>
    </w:p>
    <w:p>
      <w:pPr>
        <w:spacing w:after="0" w:line="2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Transfer Agent and Registrar</w:t>
      </w:r>
    </w:p>
    <w:p>
      <w:pPr>
        <w:spacing w:after="0" w:line="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The transfer agent and registrar for any series of preferred stock to be issued in the future will be set forth in each applicable prospectus supplement.</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10159"/>
          </w:cols>
          <w:pgMar w:left="300" w:top="375"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DESCRIPTION OF OUR WARRANTS</w:t>
      </w:r>
    </w:p>
    <w:p>
      <w:pPr>
        <w:spacing w:after="0" w:line="178" w:lineRule="exact"/>
        <w:rPr>
          <w:sz w:val="20"/>
          <w:szCs w:val="20"/>
          <w:color w:val="auto"/>
        </w:rPr>
      </w:pPr>
    </w:p>
    <w:p>
      <w:pPr>
        <w:ind w:left="1520" w:right="439"/>
        <w:spacing w:after="0" w:line="269" w:lineRule="auto"/>
        <w:rPr>
          <w:sz w:val="20"/>
          <w:szCs w:val="20"/>
          <w:color w:val="auto"/>
        </w:rPr>
      </w:pPr>
      <w:r>
        <w:rPr>
          <w:rFonts w:ascii="Times New Roman" w:cs="Times New Roman" w:eastAsia="Times New Roman" w:hAnsi="Times New Roman"/>
          <w:sz w:val="13"/>
          <w:szCs w:val="13"/>
          <w:color w:val="auto"/>
        </w:rPr>
        <w:t>We may issue warrants to purchase shares of our common stock, preferred stock 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 We urge you to read the applicable prospectus supplement and any related free writing prospectus, as well as the complete warrant agreements and warrant certificates that contain the terms of the warrants.</w:t>
      </w:r>
    </w:p>
    <w:p>
      <w:pPr>
        <w:spacing w:after="0" w:line="41" w:lineRule="exact"/>
        <w:rPr>
          <w:sz w:val="20"/>
          <w:szCs w:val="20"/>
          <w:color w:val="auto"/>
        </w:rPr>
      </w:pPr>
    </w:p>
    <w:p>
      <w:pPr>
        <w:ind w:left="2260" w:hanging="331"/>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applicable prospectus supplement will contain, where applicable, the following terms of and other information relating to the warrants:</w:t>
      </w:r>
    </w:p>
    <w:p>
      <w:pPr>
        <w:spacing w:after="0" w:line="8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specific designation and aggregate number of, and the price at which we will issue, the warrants;</w:t>
      </w:r>
    </w:p>
    <w:p>
      <w:pPr>
        <w:spacing w:after="0" w:line="8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or currency units in which the offering price, if any, and the exercise price are payable;</w:t>
      </w:r>
    </w:p>
    <w:p>
      <w:pPr>
        <w:spacing w:after="0" w:line="8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amount and terms of the securities purchasable upon exercise of the warrants;</w:t>
      </w:r>
    </w:p>
    <w:p>
      <w:pPr>
        <w:spacing w:after="0" w:line="82" w:lineRule="exact"/>
        <w:rPr>
          <w:rFonts w:ascii="Times New Roman" w:cs="Times New Roman" w:eastAsia="Times New Roman" w:hAnsi="Times New Roman"/>
          <w:sz w:val="13"/>
          <w:szCs w:val="13"/>
          <w:color w:val="auto"/>
        </w:rPr>
      </w:pPr>
    </w:p>
    <w:p>
      <w:pPr>
        <w:ind w:left="2260" w:right="439" w:hanging="331"/>
        <w:spacing w:after="0" w:line="298" w:lineRule="auto"/>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exercise price for shares of common stock and the number of shares of common stock to be received upon exercise of the warrants;</w:t>
      </w:r>
    </w:p>
    <w:p>
      <w:pPr>
        <w:spacing w:after="0" w:line="22" w:lineRule="exact"/>
        <w:rPr>
          <w:rFonts w:ascii="Times New Roman" w:cs="Times New Roman" w:eastAsia="Times New Roman" w:hAnsi="Times New Roman"/>
          <w:sz w:val="13"/>
          <w:szCs w:val="13"/>
          <w:color w:val="auto"/>
        </w:rPr>
      </w:pPr>
    </w:p>
    <w:p>
      <w:pPr>
        <w:ind w:left="2260" w:right="579" w:hanging="331"/>
        <w:spacing w:after="0" w:line="298" w:lineRule="auto"/>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exercise price for shares of our preferred stock, the number of shares of preferred stock to be received upon exercise of the warrants, and a description of that series of our preferred stock;</w:t>
      </w:r>
    </w:p>
    <w:p>
      <w:pPr>
        <w:spacing w:after="0" w:line="22" w:lineRule="exact"/>
        <w:rPr>
          <w:rFonts w:ascii="Times New Roman" w:cs="Times New Roman" w:eastAsia="Times New Roman" w:hAnsi="Times New Roman"/>
          <w:sz w:val="13"/>
          <w:szCs w:val="13"/>
          <w:color w:val="auto"/>
        </w:rPr>
      </w:pPr>
    </w:p>
    <w:p>
      <w:pPr>
        <w:ind w:left="2260" w:right="419" w:hanging="331"/>
        <w:spacing w:after="0" w:line="298" w:lineRule="auto"/>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exercise price for our debt securities, the amount of our debt securities to be received upon exercise of the warrants, and a description of that series of debt securities;</w:t>
      </w:r>
    </w:p>
    <w:p>
      <w:pPr>
        <w:spacing w:after="0" w:line="22" w:lineRule="exact"/>
        <w:rPr>
          <w:rFonts w:ascii="Times New Roman" w:cs="Times New Roman" w:eastAsia="Times New Roman" w:hAnsi="Times New Roman"/>
          <w:sz w:val="13"/>
          <w:szCs w:val="13"/>
          <w:color w:val="auto"/>
        </w:rPr>
      </w:pPr>
    </w:p>
    <w:p>
      <w:pPr>
        <w:ind w:left="2260" w:right="619" w:hanging="331"/>
        <w:spacing w:after="0" w:line="298" w:lineRule="auto"/>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right to exercise the warrants will begin and the date on which that right will expire or, if the warrants may not be continuously exercised throughout that period, the specific date or dates on which the warrants may be exercised;</w:t>
      </w:r>
    </w:p>
    <w:p>
      <w:pPr>
        <w:spacing w:after="0" w:line="22" w:lineRule="exact"/>
        <w:rPr>
          <w:rFonts w:ascii="Times New Roman" w:cs="Times New Roman" w:eastAsia="Times New Roman" w:hAnsi="Times New Roman"/>
          <w:sz w:val="13"/>
          <w:szCs w:val="13"/>
          <w:color w:val="auto"/>
        </w:rPr>
      </w:pPr>
    </w:p>
    <w:p>
      <w:pPr>
        <w:ind w:left="2260" w:right="419" w:hanging="331"/>
        <w:spacing w:after="0" w:line="291" w:lineRule="auto"/>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9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applicable material U.S. federal income tax or foreign tax consequences;</w:t>
      </w:r>
    </w:p>
    <w:p>
      <w:pPr>
        <w:spacing w:after="0" w:line="82" w:lineRule="exact"/>
        <w:rPr>
          <w:rFonts w:ascii="Times New Roman" w:cs="Times New Roman" w:eastAsia="Times New Roman" w:hAnsi="Times New Roman"/>
          <w:sz w:val="13"/>
          <w:szCs w:val="13"/>
          <w:color w:val="auto"/>
        </w:rPr>
      </w:pPr>
    </w:p>
    <w:p>
      <w:pPr>
        <w:ind w:left="2260" w:right="899" w:hanging="331"/>
        <w:spacing w:after="0" w:line="298" w:lineRule="auto"/>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identity of the warrant agent for the warrants, if any, and of any other depositaries, execution or paying agents, transfer agents, registrars or other agents;</w:t>
      </w:r>
    </w:p>
    <w:p>
      <w:pPr>
        <w:spacing w:after="0" w:line="22" w:lineRule="exact"/>
        <w:rPr>
          <w:rFonts w:ascii="Times New Roman" w:cs="Times New Roman" w:eastAsia="Times New Roman" w:hAnsi="Times New Roman"/>
          <w:sz w:val="13"/>
          <w:szCs w:val="13"/>
          <w:color w:val="auto"/>
        </w:rPr>
      </w:pPr>
    </w:p>
    <w:p>
      <w:pPr>
        <w:ind w:left="2260" w:right="759" w:hanging="331"/>
        <w:spacing w:after="0" w:line="298" w:lineRule="auto"/>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proposed listing, if any, of the warrants or any securities purchasable upon exercise of the warrants on any securities exchange or market;</w:t>
      </w:r>
    </w:p>
    <w:p>
      <w:pPr>
        <w:spacing w:after="0" w:line="22" w:lineRule="exact"/>
        <w:rPr>
          <w:rFonts w:ascii="Times New Roman" w:cs="Times New Roman" w:eastAsia="Times New Roman" w:hAnsi="Times New Roman"/>
          <w:sz w:val="13"/>
          <w:szCs w:val="13"/>
          <w:color w:val="auto"/>
        </w:rPr>
      </w:pPr>
    </w:p>
    <w:p>
      <w:pPr>
        <w:ind w:left="2260" w:right="899" w:hanging="331"/>
        <w:spacing w:after="0" w:line="298" w:lineRule="auto"/>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date from and after which the warrants and the shares of common stock, preferred stock or debt securities will be separately transferable;</w:t>
      </w:r>
    </w:p>
    <w:p>
      <w:pPr>
        <w:spacing w:after="0" w:line="2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minimum or maximum amount of the warrants that may be exercised at any one time;</w:t>
      </w:r>
    </w:p>
    <w:p>
      <w:pPr>
        <w:spacing w:after="0" w:line="8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with respect to book-entry procedures, if any;</w:t>
      </w:r>
    </w:p>
    <w:p>
      <w:pPr>
        <w:spacing w:after="0" w:line="8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anti-dilution provisions of the warrants, if any;</w:t>
      </w:r>
    </w:p>
    <w:p>
      <w:pPr>
        <w:spacing w:after="0" w:line="8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redemption, put or call provisions;</w:t>
      </w:r>
    </w:p>
    <w:p>
      <w:pPr>
        <w:spacing w:after="0" w:line="8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warrants are to be sold separately or with other securities as parts of units; and</w:t>
      </w:r>
    </w:p>
    <w:p>
      <w:pPr>
        <w:spacing w:after="0" w:line="8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additional terms of the warrants, including terms, procedures and limitations relating to the exchange and exercise of the warrants.</w:t>
      </w:r>
    </w:p>
    <w:p>
      <w:pPr>
        <w:spacing w:after="0" w:line="2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Transfer Agent and Registrar</w:t>
      </w:r>
    </w:p>
    <w:p>
      <w:pPr>
        <w:spacing w:after="0" w:line="9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The transfer agent and registrar, if any, for any warrants will be set forth in the applicable prospectus supplement.</w:t>
      </w:r>
    </w:p>
    <w:p>
      <w:pPr>
        <w:spacing w:after="0" w:line="2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Description of Outstanding Warrants</w:t>
      </w:r>
    </w:p>
    <w:p>
      <w:pPr>
        <w:spacing w:after="0" w:line="9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See “Description of Our Securities—Description of Our Shares of Common Stock—Outstanding Warrants.”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10159"/>
          </w:cols>
          <w:pgMar w:left="300" w:top="375"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DESCRIPTION OF OUR DEBT SECURITIES</w:t>
      </w:r>
    </w:p>
    <w:p>
      <w:pPr>
        <w:spacing w:after="0" w:line="178" w:lineRule="exact"/>
        <w:rPr>
          <w:sz w:val="20"/>
          <w:szCs w:val="20"/>
          <w:color w:val="auto"/>
        </w:rPr>
      </w:pPr>
    </w:p>
    <w:p>
      <w:pPr>
        <w:ind w:left="1520" w:right="499"/>
        <w:spacing w:after="0" w:line="265" w:lineRule="auto"/>
        <w:rPr>
          <w:sz w:val="20"/>
          <w:szCs w:val="20"/>
          <w:color w:val="auto"/>
        </w:rPr>
      </w:pPr>
      <w:r>
        <w:rPr>
          <w:rFonts w:ascii="Times New Roman" w:cs="Times New Roman" w:eastAsia="Times New Roman" w:hAnsi="Times New Roman"/>
          <w:sz w:val="13"/>
          <w:szCs w:val="13"/>
          <w:color w:val="auto"/>
        </w:rPr>
        <w:t>This section describes the general terms and provisions of the debt securities that we may offer under this prospectus, any of which may be issued as convertible or exchangeable debt securities. We will set forth the particular terms of the debt securities we offer in a prospectus supplement. The terms of any debt securities offered under a prospectus supplement may differ from the terms described below. The extent, if any, to which the following general provisions apply to particular debt securities will be described in the applicable prospectus supplement. The following description of general terms relating to the debt securities and the indenture under which the debt securities will be issued are summaries only and therefore are not complete. You should read the indenture and the applicable prospectus supplement and any related free writing prospectus, which may be amended or supplemented from time to time, that contains the terms of the debt securities.</w:t>
      </w:r>
    </w:p>
    <w:p>
      <w:pPr>
        <w:spacing w:after="0" w:line="137" w:lineRule="exact"/>
        <w:rPr>
          <w:sz w:val="20"/>
          <w:szCs w:val="20"/>
          <w:color w:val="auto"/>
        </w:rPr>
      </w:pPr>
    </w:p>
    <w:p>
      <w:pPr>
        <w:ind w:left="1520" w:right="439"/>
        <w:spacing w:after="0" w:line="269" w:lineRule="auto"/>
        <w:rPr>
          <w:sz w:val="20"/>
          <w:szCs w:val="20"/>
          <w:color w:val="auto"/>
        </w:rPr>
      </w:pPr>
      <w:r>
        <w:rPr>
          <w:rFonts w:ascii="Times New Roman" w:cs="Times New Roman" w:eastAsia="Times New Roman" w:hAnsi="Times New Roman"/>
          <w:sz w:val="13"/>
          <w:szCs w:val="13"/>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or will file a copy of the form of indenture as an exhibit to the registration statement in which this prospectus is included. The indenture will be subject to and governed by the terms of the Trust Indenture Act of 1939.</w:t>
      </w:r>
    </w:p>
    <w:p>
      <w:pPr>
        <w:spacing w:after="0" w:line="131" w:lineRule="exact"/>
        <w:rPr>
          <w:sz w:val="20"/>
          <w:szCs w:val="20"/>
          <w:color w:val="auto"/>
        </w:rPr>
      </w:pPr>
    </w:p>
    <w:p>
      <w:pPr>
        <w:ind w:left="1520" w:right="459"/>
        <w:spacing w:after="0" w:line="272" w:lineRule="auto"/>
        <w:rPr>
          <w:sz w:val="20"/>
          <w:szCs w:val="20"/>
          <w:color w:val="auto"/>
        </w:rPr>
      </w:pPr>
      <w:r>
        <w:rPr>
          <w:rFonts w:ascii="Times New Roman" w:cs="Times New Roman" w:eastAsia="Times New Roman" w:hAnsi="Times New Roman"/>
          <w:sz w:val="13"/>
          <w:szCs w:val="13"/>
          <w:color w:val="auto"/>
        </w:rPr>
        <w:t>We may offer under this prospectus up to an aggregate principal amount of $100,000,000 in debt securities, or if debt securities are issued at a discount, or in a foreign currency, foreign currency units or composite currency, the principal amount as may be sold for an aggregate initial public offering price of up to $100,000,000. Unless otherwise specified in the applicable prospectus supplement, the debt securities will represent direct, unsecured obligations of ours and will rank equally with all of our other unsecured indebtedness.</w:t>
      </w:r>
    </w:p>
    <w:p>
      <w:pPr>
        <w:spacing w:after="0" w:line="130" w:lineRule="exact"/>
        <w:rPr>
          <w:sz w:val="20"/>
          <w:szCs w:val="20"/>
          <w:color w:val="auto"/>
        </w:rPr>
      </w:pPr>
    </w:p>
    <w:p>
      <w:pPr>
        <w:ind w:left="1520" w:right="999"/>
        <w:spacing w:after="0" w:line="298" w:lineRule="auto"/>
        <w:rPr>
          <w:sz w:val="20"/>
          <w:szCs w:val="20"/>
          <w:color w:val="auto"/>
        </w:rPr>
      </w:pPr>
      <w:r>
        <w:rPr>
          <w:rFonts w:ascii="Times New Roman" w:cs="Times New Roman" w:eastAsia="Times New Roman" w:hAnsi="Times New Roman"/>
          <w:sz w:val="13"/>
          <w:szCs w:val="13"/>
          <w:color w:val="auto"/>
        </w:rPr>
        <w:t>The following statements relating to the debt securities and the indenture are summaries, qualified in their entirety by reference to the detailed provisions of the indenture and the final form indenture as may be filed with a future prospectus supplement.</w:t>
      </w:r>
    </w:p>
    <w:p>
      <w:pPr>
        <w:spacing w:after="0" w:line="1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General</w:t>
      </w:r>
    </w:p>
    <w:p>
      <w:pPr>
        <w:spacing w:after="0" w:line="95" w:lineRule="exact"/>
        <w:rPr>
          <w:sz w:val="20"/>
          <w:szCs w:val="20"/>
          <w:color w:val="auto"/>
        </w:rPr>
      </w:pPr>
    </w:p>
    <w:p>
      <w:pPr>
        <w:ind w:left="1520" w:right="599"/>
        <w:spacing w:after="0" w:line="298" w:lineRule="auto"/>
        <w:rPr>
          <w:sz w:val="20"/>
          <w:szCs w:val="20"/>
          <w:color w:val="auto"/>
        </w:rPr>
      </w:pPr>
      <w:r>
        <w:rPr>
          <w:rFonts w:ascii="Times New Roman" w:cs="Times New Roman" w:eastAsia="Times New Roman" w:hAnsi="Times New Roman"/>
          <w:sz w:val="13"/>
          <w:szCs w:val="13"/>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13" w:lineRule="exact"/>
        <w:rPr>
          <w:sz w:val="20"/>
          <w:szCs w:val="20"/>
          <w:color w:val="auto"/>
        </w:rPr>
      </w:pPr>
    </w:p>
    <w:p>
      <w:pPr>
        <w:ind w:left="1520" w:right="439"/>
        <w:spacing w:after="0" w:line="298" w:lineRule="auto"/>
        <w:rPr>
          <w:sz w:val="20"/>
          <w:szCs w:val="20"/>
          <w:color w:val="auto"/>
        </w:rPr>
      </w:pPr>
      <w:r>
        <w:rPr>
          <w:rFonts w:ascii="Times New Roman" w:cs="Times New Roman" w:eastAsia="Times New Roman" w:hAnsi="Times New Roman"/>
          <w:sz w:val="13"/>
          <w:szCs w:val="13"/>
          <w:color w:val="auto"/>
        </w:rPr>
        <w:t>The prospectus supplement will set forth, to the extent required, the following terms of the debt securities in respect of which the prospectus supplement is delivered:</w:t>
      </w:r>
    </w:p>
    <w:p>
      <w:pPr>
        <w:spacing w:after="0" w:line="43" w:lineRule="exact"/>
        <w:rPr>
          <w:sz w:val="20"/>
          <w:szCs w:val="20"/>
          <w:color w:val="auto"/>
        </w:rPr>
      </w:pPr>
    </w:p>
    <w:p>
      <w:pPr>
        <w:ind w:left="2260" w:hanging="331"/>
        <w:spacing w:after="0"/>
        <w:tabs>
          <w:tab w:leader="none" w:pos="2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series;</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principal amount;</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 price or prices, expressed as a percentage of the aggregate principal amount of the debt securities;</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limit on the aggregate principal amount;</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on which the debt securities will be issued and on which principal of, and premium, if any, is payable;</w:t>
      </w:r>
    </w:p>
    <w:p>
      <w:pPr>
        <w:spacing w:after="0" w:line="102" w:lineRule="exact"/>
        <w:rPr>
          <w:rFonts w:ascii="Times New Roman" w:cs="Times New Roman" w:eastAsia="Times New Roman" w:hAnsi="Times New Roman"/>
          <w:sz w:val="13"/>
          <w:szCs w:val="13"/>
          <w:color w:val="auto"/>
        </w:rPr>
      </w:pPr>
    </w:p>
    <w:p>
      <w:pPr>
        <w:jc w:val="center"/>
        <w:ind w:left="5580" w:right="1319" w:hanging="3651"/>
        <w:spacing w:after="0" w:line="358" w:lineRule="auto"/>
        <w:tabs>
          <w:tab w:leader="none" w:pos="225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or rates (which may be fixed or variable) or, if applicable, the method used to determine such rate or rates; 22</w:t>
      </w:r>
    </w:p>
    <w:p>
      <w:pPr>
        <w:sectPr>
          <w:pgSz w:w="11900" w:h="16838" w:orient="portrait"/>
          <w:cols w:equalWidth="0" w:num="1">
            <w:col w:w="10159"/>
          </w:cols>
          <w:pgMar w:left="300" w:top="37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jc w:val="both"/>
        <w:ind w:left="2260" w:right="759" w:hanging="331"/>
        <w:spacing w:after="0" w:line="278" w:lineRule="auto"/>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from which interest will accrue, the interest payment date or dates on which interest will be payable and any regular record date for the interest payable, and the basis upon which interest will be calculated if other than that of a 360-day year of twelve 30-day months;</w:t>
      </w:r>
    </w:p>
    <w:p>
      <w:pPr>
        <w:spacing w:after="0" w:line="55"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principal and, if applicable, premium and interest, is payable;</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and conditions upon which we may, or the holders may require us to, redeem or repurchase the debt securities;</w:t>
      </w:r>
    </w:p>
    <w:p>
      <w:pPr>
        <w:spacing w:after="0" w:line="102" w:lineRule="exact"/>
        <w:rPr>
          <w:rFonts w:ascii="Times New Roman" w:cs="Times New Roman" w:eastAsia="Times New Roman" w:hAnsi="Times New Roman"/>
          <w:sz w:val="13"/>
          <w:szCs w:val="13"/>
          <w:color w:val="auto"/>
        </w:rPr>
      </w:pPr>
    </w:p>
    <w:p>
      <w:pPr>
        <w:ind w:left="2260" w:right="499" w:hanging="331"/>
        <w:spacing w:after="0" w:line="298" w:lineRule="auto"/>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denominations in which such debt securities may be issuable, if other than a minimum denomination of $2,000 or an integral multiple of $1,000 in excess thereof;</w:t>
      </w:r>
    </w:p>
    <w:p>
      <w:pPr>
        <w:spacing w:after="0" w:line="4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or rates (which may be fixed or variable) or, if applicable, the method used to determine such rate or rates;</w:t>
      </w:r>
    </w:p>
    <w:p>
      <w:pPr>
        <w:spacing w:after="0" w:line="102" w:lineRule="exact"/>
        <w:rPr>
          <w:rFonts w:ascii="Times New Roman" w:cs="Times New Roman" w:eastAsia="Times New Roman" w:hAnsi="Times New Roman"/>
          <w:sz w:val="13"/>
          <w:szCs w:val="13"/>
          <w:color w:val="auto"/>
        </w:rPr>
      </w:pPr>
    </w:p>
    <w:p>
      <w:pPr>
        <w:ind w:left="2260" w:right="619" w:hanging="331"/>
        <w:spacing w:after="0" w:line="298" w:lineRule="auto"/>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are to be issuable in the form of certificated debt securities (as described below) or global debt securities (as described below);</w:t>
      </w:r>
    </w:p>
    <w:p>
      <w:pPr>
        <w:spacing w:after="0" w:line="42" w:lineRule="exact"/>
        <w:rPr>
          <w:rFonts w:ascii="Times New Roman" w:cs="Times New Roman" w:eastAsia="Times New Roman" w:hAnsi="Times New Roman"/>
          <w:sz w:val="13"/>
          <w:szCs w:val="13"/>
          <w:color w:val="auto"/>
        </w:rPr>
      </w:pPr>
    </w:p>
    <w:p>
      <w:pPr>
        <w:ind w:left="2260" w:right="439" w:hanging="331"/>
        <w:spacing w:after="0" w:line="298" w:lineRule="auto"/>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principal amount that will be payable upon declaration of acceleration of the maturity date if other than the principal amount of the debt securities;</w:t>
      </w:r>
    </w:p>
    <w:p>
      <w:pPr>
        <w:spacing w:after="0" w:line="4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of denomination;</w:t>
      </w:r>
    </w:p>
    <w:p>
      <w:pPr>
        <w:spacing w:after="0" w:line="102" w:lineRule="exact"/>
        <w:rPr>
          <w:rFonts w:ascii="Times New Roman" w:cs="Times New Roman" w:eastAsia="Times New Roman" w:hAnsi="Times New Roman"/>
          <w:sz w:val="13"/>
          <w:szCs w:val="13"/>
          <w:color w:val="auto"/>
        </w:rPr>
      </w:pPr>
    </w:p>
    <w:p>
      <w:pPr>
        <w:ind w:left="2260" w:right="419" w:hanging="331"/>
        <w:spacing w:after="0" w:line="298" w:lineRule="auto"/>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of the currency, currencies or currency units in which payment of principal and, if applicable, premium and interest, will be made;</w:t>
      </w:r>
    </w:p>
    <w:p>
      <w:pPr>
        <w:spacing w:after="0" w:line="42" w:lineRule="exact"/>
        <w:rPr>
          <w:rFonts w:ascii="Times New Roman" w:cs="Times New Roman" w:eastAsia="Times New Roman" w:hAnsi="Times New Roman"/>
          <w:sz w:val="13"/>
          <w:szCs w:val="13"/>
          <w:color w:val="auto"/>
        </w:rPr>
      </w:pPr>
    </w:p>
    <w:p>
      <w:pPr>
        <w:ind w:left="2260" w:right="439" w:hanging="331"/>
        <w:spacing w:after="0" w:line="298" w:lineRule="auto"/>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42" w:lineRule="exact"/>
        <w:rPr>
          <w:rFonts w:ascii="Times New Roman" w:cs="Times New Roman" w:eastAsia="Times New Roman" w:hAnsi="Times New Roman"/>
          <w:sz w:val="13"/>
          <w:szCs w:val="13"/>
          <w:color w:val="auto"/>
        </w:rPr>
      </w:pPr>
    </w:p>
    <w:p>
      <w:pPr>
        <w:ind w:left="2260" w:right="439" w:hanging="331"/>
        <w:spacing w:after="0" w:line="298" w:lineRule="auto"/>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amounts of principal and, if applicable, premium and interest may be determined by reference to an index, including an index based on a currency or currencies other than in which the debt securities are payable, then the manner in which such amounts will be determined;</w:t>
      </w:r>
    </w:p>
    <w:p>
      <w:pPr>
        <w:spacing w:after="0" w:line="4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if any, relating to any collateral provided for such debt securities;</w:t>
      </w:r>
    </w:p>
    <w:p>
      <w:pPr>
        <w:spacing w:after="0" w:line="102" w:lineRule="exact"/>
        <w:rPr>
          <w:rFonts w:ascii="Times New Roman" w:cs="Times New Roman" w:eastAsia="Times New Roman" w:hAnsi="Times New Roman"/>
          <w:sz w:val="13"/>
          <w:szCs w:val="13"/>
          <w:color w:val="auto"/>
        </w:rPr>
      </w:pPr>
    </w:p>
    <w:p>
      <w:pPr>
        <w:jc w:val="both"/>
        <w:ind w:left="2260" w:right="619" w:hanging="331"/>
        <w:spacing w:after="0" w:line="278" w:lineRule="auto"/>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will be guaranteed by any person or persons and, if so, the identity of such person or persons, the terms and conditions upon which such debt securities shall be guaranteed and, if applicable, the terms and conditions upon which such guarantees may be subordinated to other indebtedness of the respective guarantors;</w:t>
      </w:r>
    </w:p>
    <w:p>
      <w:pPr>
        <w:spacing w:after="0" w:line="55"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 to or change in the covenants described in this prospectus or in the indenture;</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events of default, if not otherwise described below under “Events of Default”;</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and conditions, if any, for conversion into or exchange for shares of common stock or preferred stock;</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depositaries, interest rate calculation agents, exchange rate calculation agents or other agents;</w:t>
      </w:r>
    </w:p>
    <w:p>
      <w:pPr>
        <w:spacing w:after="0" w:line="102" w:lineRule="exact"/>
        <w:rPr>
          <w:rFonts w:ascii="Times New Roman" w:cs="Times New Roman" w:eastAsia="Times New Roman" w:hAnsi="Times New Roman"/>
          <w:sz w:val="13"/>
          <w:szCs w:val="13"/>
          <w:color w:val="auto"/>
        </w:rPr>
      </w:pPr>
    </w:p>
    <w:p>
      <w:pPr>
        <w:ind w:left="2260" w:right="739" w:hanging="331"/>
        <w:spacing w:after="0" w:line="298" w:lineRule="auto"/>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and conditions, if any, upon which the debt securities shall be subordinated in right of payment to other indebtedness of our company; and</w:t>
      </w:r>
    </w:p>
    <w:p>
      <w:pPr>
        <w:spacing w:after="0" w:line="4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debt securities of such series.</w:t>
      </w:r>
    </w:p>
    <w:p>
      <w:pPr>
        <w:spacing w:after="0" w:line="174" w:lineRule="exact"/>
        <w:rPr>
          <w:sz w:val="20"/>
          <w:szCs w:val="20"/>
          <w:color w:val="auto"/>
        </w:rPr>
      </w:pPr>
    </w:p>
    <w:p>
      <w:pPr>
        <w:ind w:left="1520" w:right="399"/>
        <w:spacing w:after="0" w:line="272" w:lineRule="auto"/>
        <w:rPr>
          <w:sz w:val="20"/>
          <w:szCs w:val="20"/>
          <w:color w:val="auto"/>
        </w:rPr>
      </w:pPr>
      <w:r>
        <w:rPr>
          <w:rFonts w:ascii="Times New Roman" w:cs="Times New Roman" w:eastAsia="Times New Roman" w:hAnsi="Times New Roman"/>
          <w:sz w:val="13"/>
          <w:szCs w:val="13"/>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that apply to these debt securities in the applicable prospectus supplement.</w:t>
      </w:r>
    </w:p>
    <w:p>
      <w:pPr>
        <w:spacing w:after="0" w:line="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10159"/>
          </w:cols>
          <w:pgMar w:left="300" w:top="375"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jc w:val="both"/>
        <w:ind w:left="1520" w:right="419"/>
        <w:spacing w:after="0" w:line="278" w:lineRule="auto"/>
        <w:rPr>
          <w:sz w:val="20"/>
          <w:szCs w:val="20"/>
          <w:color w:val="auto"/>
        </w:rPr>
      </w:pPr>
      <w:r>
        <w:rPr>
          <w:rFonts w:ascii="Times New Roman" w:cs="Times New Roman" w:eastAsia="Times New Roman" w:hAnsi="Times New Roman"/>
          <w:sz w:val="13"/>
          <w:szCs w:val="13"/>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Exchange and/or Conversion Rights</w:t>
      </w:r>
    </w:p>
    <w:p>
      <w:pPr>
        <w:spacing w:after="0" w:line="95" w:lineRule="exact"/>
        <w:rPr>
          <w:sz w:val="20"/>
          <w:szCs w:val="20"/>
          <w:color w:val="auto"/>
        </w:rPr>
      </w:pPr>
    </w:p>
    <w:p>
      <w:pPr>
        <w:ind w:left="1520" w:right="579"/>
        <w:spacing w:after="0" w:line="298" w:lineRule="auto"/>
        <w:rPr>
          <w:sz w:val="20"/>
          <w:szCs w:val="20"/>
          <w:color w:val="auto"/>
        </w:rPr>
      </w:pPr>
      <w:r>
        <w:rPr>
          <w:rFonts w:ascii="Times New Roman" w:cs="Times New Roman" w:eastAsia="Times New Roman" w:hAnsi="Times New Roman"/>
          <w:sz w:val="13"/>
          <w:szCs w:val="13"/>
          <w:color w:val="auto"/>
        </w:rPr>
        <w:t>We may issue debt securities which can be exchanged for or converted into shares of our common stock or preferred stock. If we do, we will describe the terms of exchange or conversion in the prospectus supplement relating to these debt securities.</w:t>
      </w:r>
    </w:p>
    <w:p>
      <w:pPr>
        <w:spacing w:after="0" w:line="1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Transfer and Exchange</w:t>
      </w:r>
    </w:p>
    <w:p>
      <w:pPr>
        <w:spacing w:after="0" w:line="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We may issue debt securities that will be represented by either:</w:t>
      </w:r>
    </w:p>
    <w:p>
      <w:pPr>
        <w:spacing w:after="0" w:line="103" w:lineRule="exact"/>
        <w:rPr>
          <w:sz w:val="20"/>
          <w:szCs w:val="20"/>
          <w:color w:val="auto"/>
        </w:rPr>
      </w:pPr>
    </w:p>
    <w:p>
      <w:pPr>
        <w:ind w:left="2260" w:right="399" w:hanging="331"/>
        <w:spacing w:after="0" w:line="298" w:lineRule="auto"/>
        <w:tabs>
          <w:tab w:leader="none" w:pos="2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“book-entry securities,” which means that there will be one or more global securities registered in the name of a depositary or a nominee of a depositary; or</w:t>
      </w:r>
    </w:p>
    <w:p>
      <w:pPr>
        <w:spacing w:after="0" w:line="4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“certificated securities,” which means that they will be represented by a certificate issued in definitive registered form.</w:t>
      </w:r>
    </w:p>
    <w:p>
      <w:pPr>
        <w:spacing w:after="0" w:line="174" w:lineRule="exact"/>
        <w:rPr>
          <w:sz w:val="20"/>
          <w:szCs w:val="20"/>
          <w:color w:val="auto"/>
        </w:rPr>
      </w:pPr>
    </w:p>
    <w:p>
      <w:pPr>
        <w:ind w:left="1520" w:right="659"/>
        <w:spacing w:after="0" w:line="298" w:lineRule="auto"/>
        <w:rPr>
          <w:sz w:val="20"/>
          <w:szCs w:val="20"/>
          <w:color w:val="auto"/>
        </w:rPr>
      </w:pPr>
      <w:r>
        <w:rPr>
          <w:rFonts w:ascii="Times New Roman" w:cs="Times New Roman" w:eastAsia="Times New Roman" w:hAnsi="Times New Roman"/>
          <w:sz w:val="13"/>
          <w:szCs w:val="13"/>
          <w:color w:val="auto"/>
        </w:rPr>
        <w:t>We will specify in the prospectus supplement applicable to a particular offering whether the debt securities offered will be book-entry or certificated securities.</w:t>
      </w:r>
    </w:p>
    <w:p>
      <w:pPr>
        <w:spacing w:after="0" w:line="1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Certificated Debt Securities</w:t>
      </w:r>
    </w:p>
    <w:p>
      <w:pPr>
        <w:spacing w:after="0" w:line="95" w:lineRule="exact"/>
        <w:rPr>
          <w:sz w:val="20"/>
          <w:szCs w:val="20"/>
          <w:color w:val="auto"/>
        </w:rPr>
      </w:pPr>
    </w:p>
    <w:p>
      <w:pPr>
        <w:ind w:left="1520" w:right="499"/>
        <w:spacing w:after="0" w:line="278" w:lineRule="auto"/>
        <w:rPr>
          <w:sz w:val="20"/>
          <w:szCs w:val="20"/>
          <w:color w:val="auto"/>
        </w:rPr>
      </w:pPr>
      <w:r>
        <w:rPr>
          <w:rFonts w:ascii="Times New Roman" w:cs="Times New Roman" w:eastAsia="Times New Roman" w:hAnsi="Times New Roman"/>
          <w:sz w:val="13"/>
          <w:szCs w:val="13"/>
          <w:color w:val="auto"/>
        </w:rPr>
        <w:t>If you hold certificated debt securities issued under an indenture, you may transfer or exchange such debt securities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Global Securities</w:t>
      </w:r>
    </w:p>
    <w:p>
      <w:pPr>
        <w:spacing w:after="0" w:line="95" w:lineRule="exact"/>
        <w:rPr>
          <w:sz w:val="20"/>
          <w:szCs w:val="20"/>
          <w:color w:val="auto"/>
        </w:rPr>
      </w:pPr>
    </w:p>
    <w:p>
      <w:pPr>
        <w:ind w:left="1520" w:right="559"/>
        <w:spacing w:after="0" w:line="272" w:lineRule="auto"/>
        <w:rPr>
          <w:sz w:val="20"/>
          <w:szCs w:val="20"/>
          <w:color w:val="auto"/>
        </w:rPr>
      </w:pPr>
      <w:r>
        <w:rPr>
          <w:rFonts w:ascii="Times New Roman" w:cs="Times New Roman" w:eastAsia="Times New Roman" w:hAnsi="Times New Roman"/>
          <w:sz w:val="13"/>
          <w:szCs w:val="13"/>
          <w:color w:val="auto"/>
        </w:rPr>
        <w:t>The debt securities of a series may be issued in the form of one or more global securities that will be deposited with a depositary or its nominees identified in the prospectus supplement relating to the debt securities. In such a case, one or more global securities will be issued in a denomination or aggregate denominations equal to the portion of the aggregate principal amount of outstanding debt securities of the series to be represented by such global security or securities.</w:t>
      </w:r>
    </w:p>
    <w:p>
      <w:pPr>
        <w:spacing w:after="0" w:line="130" w:lineRule="exact"/>
        <w:rPr>
          <w:sz w:val="20"/>
          <w:szCs w:val="20"/>
          <w:color w:val="auto"/>
        </w:rPr>
      </w:pPr>
    </w:p>
    <w:p>
      <w:pPr>
        <w:ind w:left="1520" w:right="419"/>
        <w:spacing w:after="0" w:line="272" w:lineRule="auto"/>
        <w:rPr>
          <w:sz w:val="20"/>
          <w:szCs w:val="20"/>
          <w:color w:val="auto"/>
        </w:rPr>
      </w:pPr>
      <w:r>
        <w:rPr>
          <w:rFonts w:ascii="Times New Roman" w:cs="Times New Roman" w:eastAsia="Times New Roman" w:hAnsi="Times New Roman"/>
          <w:sz w:val="13"/>
          <w:szCs w:val="13"/>
          <w:color w:val="auto"/>
        </w:rPr>
        <w:t>Unless and until it is exchanged in whole or in part for debt securities in definitive registered form, a global security may not be registered for transfer or exchange except as a whole by the depositary for such global security to a nominee of the depositary and except in the circumstances described in the prospectus supplement relating to the debt securities. The specific terms of the depositary arrangement with respect to a series of debt securities will be described in the prospectus supplement relating to such series.</w:t>
      </w:r>
    </w:p>
    <w:p>
      <w:pPr>
        <w:spacing w:after="0" w:line="2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Protection in the Event of Change of Control</w:t>
      </w:r>
    </w:p>
    <w:p>
      <w:pPr>
        <w:spacing w:after="0" w:line="95" w:lineRule="exact"/>
        <w:rPr>
          <w:sz w:val="20"/>
          <w:szCs w:val="20"/>
          <w:color w:val="auto"/>
        </w:rPr>
      </w:pPr>
    </w:p>
    <w:p>
      <w:pPr>
        <w:ind w:left="1520" w:right="419"/>
        <w:spacing w:after="0" w:line="278" w:lineRule="auto"/>
        <w:rPr>
          <w:sz w:val="20"/>
          <w:szCs w:val="20"/>
          <w:color w:val="auto"/>
        </w:rPr>
      </w:pPr>
      <w:r>
        <w:rPr>
          <w:rFonts w:ascii="Times New Roman" w:cs="Times New Roman" w:eastAsia="Times New Roman" w:hAnsi="Times New Roman"/>
          <w:sz w:val="13"/>
          <w:szCs w:val="13"/>
          <w:color w:val="auto"/>
        </w:rPr>
        <w:t>Any provision in an indenture that governs our debt securities covered by this prospectus that includes any covenant or other provision providing for a put or increased interest or otherwise that would afford holders of our debt securities additional protection in the event of a recapitalization transaction, a change of control of the Company, or a highly leveraged transaction will be described in the applicable prospectus supplement.</w:t>
      </w:r>
    </w:p>
    <w:p>
      <w:pPr>
        <w:spacing w:after="0" w:line="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10159"/>
          </w:cols>
          <w:pgMar w:left="300" w:top="375"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Covenants</w:t>
      </w:r>
    </w:p>
    <w:p>
      <w:pPr>
        <w:spacing w:after="0" w:line="95" w:lineRule="exact"/>
        <w:rPr>
          <w:sz w:val="20"/>
          <w:szCs w:val="20"/>
          <w:color w:val="auto"/>
        </w:rPr>
      </w:pPr>
    </w:p>
    <w:p>
      <w:pPr>
        <w:ind w:left="1520" w:right="479"/>
        <w:spacing w:after="0" w:line="278" w:lineRule="auto"/>
        <w:rPr>
          <w:sz w:val="20"/>
          <w:szCs w:val="20"/>
          <w:color w:val="auto"/>
        </w:rPr>
      </w:pPr>
      <w:r>
        <w:rPr>
          <w:rFonts w:ascii="Times New Roman" w:cs="Times New Roman" w:eastAsia="Times New Roman" w:hAnsi="Times New Roman"/>
          <w:sz w:val="13"/>
          <w:szCs w:val="13"/>
          <w:color w:val="auto"/>
        </w:rPr>
        <w:t>Unless otherwise indicated in this prospectus or the applicable prospectus supplement, our debt securities may not have the benefit of any covenant that limits or restricts our business or operations, the pledging of our assets or the incurrence by us of indebtedness. We will describe in the applicable prospectus supplement any material covenants in respect of a series of debt securities.</w:t>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Consolidation, Merger, Conveyance, Transfer or Lease</w:t>
      </w:r>
    </w:p>
    <w:p>
      <w:pPr>
        <w:spacing w:after="0" w:line="95" w:lineRule="exact"/>
        <w:rPr>
          <w:sz w:val="20"/>
          <w:szCs w:val="20"/>
          <w:color w:val="auto"/>
        </w:rPr>
      </w:pPr>
    </w:p>
    <w:p>
      <w:pPr>
        <w:ind w:left="1520" w:right="419"/>
        <w:spacing w:after="0" w:line="278" w:lineRule="auto"/>
        <w:rPr>
          <w:sz w:val="20"/>
          <w:szCs w:val="20"/>
          <w:color w:val="auto"/>
        </w:rPr>
      </w:pPr>
      <w:r>
        <w:rPr>
          <w:rFonts w:ascii="Times New Roman" w:cs="Times New Roman" w:eastAsia="Times New Roman" w:hAnsi="Times New Roman"/>
          <w:sz w:val="13"/>
          <w:szCs w:val="13"/>
          <w:color w:val="auto"/>
        </w:rPr>
        <w:t>We may agree in any indenture that governs the debt securities of any series covered by this prospectus that we will not consolidate with or merge into any other person or convey, transfer or lease (as lessor) our properties and assets as, or substantially as, an entirety to any person, unless such person and such proposed transaction meets various criteria, which we will describe in detail in the applicable prospectus supplement.</w:t>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Defaults and Notice</w:t>
      </w:r>
    </w:p>
    <w:p>
      <w:pPr>
        <w:spacing w:after="0" w:line="95" w:lineRule="exact"/>
        <w:rPr>
          <w:sz w:val="20"/>
          <w:szCs w:val="20"/>
          <w:color w:val="auto"/>
        </w:rPr>
      </w:pPr>
    </w:p>
    <w:p>
      <w:pPr>
        <w:ind w:left="1520" w:right="719"/>
        <w:spacing w:after="0" w:line="298" w:lineRule="auto"/>
        <w:rPr>
          <w:sz w:val="20"/>
          <w:szCs w:val="20"/>
          <w:color w:val="auto"/>
        </w:rPr>
      </w:pPr>
      <w:r>
        <w:rPr>
          <w:rFonts w:ascii="Times New Roman" w:cs="Times New Roman" w:eastAsia="Times New Roman" w:hAnsi="Times New Roman"/>
          <w:sz w:val="13"/>
          <w:szCs w:val="13"/>
          <w:color w:val="auto"/>
        </w:rPr>
        <w:t>The debt securities of any series will contain events of default to be specified in the applicable prospectus supplement, which may include, without limitation:</w:t>
      </w:r>
    </w:p>
    <w:p>
      <w:pPr>
        <w:spacing w:after="0" w:line="43" w:lineRule="exact"/>
        <w:rPr>
          <w:sz w:val="20"/>
          <w:szCs w:val="20"/>
          <w:color w:val="auto"/>
        </w:rPr>
      </w:pPr>
    </w:p>
    <w:p>
      <w:pPr>
        <w:ind w:left="2260" w:right="699" w:hanging="331"/>
        <w:spacing w:after="0" w:line="298" w:lineRule="auto"/>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of any interest upon any debt security of that series when it becomes due and payable, and continuance of such default for a period of 30 days;</w:t>
      </w:r>
    </w:p>
    <w:p>
      <w:pPr>
        <w:spacing w:after="0" w:line="4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of the principal of or any premium on any debt security of that series at its maturity;</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deposit of any sinking fund payment, when and as due by the terms of a debt security of that series;</w:t>
      </w:r>
    </w:p>
    <w:p>
      <w:pPr>
        <w:spacing w:after="0" w:line="102" w:lineRule="exact"/>
        <w:rPr>
          <w:rFonts w:ascii="Times New Roman" w:cs="Times New Roman" w:eastAsia="Times New Roman" w:hAnsi="Times New Roman"/>
          <w:sz w:val="13"/>
          <w:szCs w:val="13"/>
          <w:color w:val="auto"/>
        </w:rPr>
      </w:pPr>
    </w:p>
    <w:p>
      <w:pPr>
        <w:ind w:left="2260" w:right="759" w:hanging="331"/>
        <w:spacing w:after="0" w:line="298" w:lineRule="auto"/>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performance or breach of any other covenants or agreements in the indenture with respect to the debt securities of such series; and</w:t>
      </w:r>
    </w:p>
    <w:p>
      <w:pPr>
        <w:spacing w:after="0" w:line="4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events relating to our bankruptcy, insolvency or reorganization.</w:t>
      </w:r>
    </w:p>
    <w:p>
      <w:pPr>
        <w:spacing w:after="0" w:line="174" w:lineRule="exact"/>
        <w:rPr>
          <w:sz w:val="20"/>
          <w:szCs w:val="20"/>
          <w:color w:val="auto"/>
        </w:rPr>
      </w:pPr>
    </w:p>
    <w:p>
      <w:pPr>
        <w:ind w:left="1520" w:right="419"/>
        <w:spacing w:after="0" w:line="267" w:lineRule="auto"/>
        <w:rPr>
          <w:sz w:val="20"/>
          <w:szCs w:val="20"/>
          <w:color w:val="auto"/>
        </w:rPr>
      </w:pPr>
      <w:r>
        <w:rPr>
          <w:rFonts w:ascii="Times New Roman" w:cs="Times New Roman" w:eastAsia="Times New Roman" w:hAnsi="Times New Roman"/>
          <w:sz w:val="13"/>
          <w:szCs w:val="13"/>
          <w:color w:val="auto"/>
        </w:rPr>
        <w:t>If an event of default with respect to debt securities of any series shall occur and be continuing, we may agree that the trustee or the holders of at least 25% in aggregate principal amount of the then outstanding debt securities of such series may declare the principal amount (or, if the debt securities of such series are issued at an original issue discount, such portion of the principal amount as may be specified in the terms of the debt securities of such series) of all debt securities of such series or such other amount or amounts as the debt securities or supplemental indenture with respect to such series may provide, to be due and payable immediately. Any provisions pertaining to events of default and any remedies associated therewith will be described in the applicable prospectus supplement.</w:t>
      </w:r>
    </w:p>
    <w:p>
      <w:pPr>
        <w:spacing w:after="0" w:line="133" w:lineRule="exact"/>
        <w:rPr>
          <w:sz w:val="20"/>
          <w:szCs w:val="20"/>
          <w:color w:val="auto"/>
        </w:rPr>
      </w:pPr>
    </w:p>
    <w:p>
      <w:pPr>
        <w:ind w:left="1520" w:right="439"/>
        <w:spacing w:after="0" w:line="267" w:lineRule="auto"/>
        <w:rPr>
          <w:sz w:val="20"/>
          <w:szCs w:val="20"/>
          <w:color w:val="auto"/>
        </w:rPr>
      </w:pPr>
      <w:r>
        <w:rPr>
          <w:rFonts w:ascii="Times New Roman" w:cs="Times New Roman" w:eastAsia="Times New Roman" w:hAnsi="Times New Roman"/>
          <w:sz w:val="13"/>
          <w:szCs w:val="13"/>
          <w:color w:val="auto"/>
        </w:rPr>
        <w:t>Any indenture that governs our debt securities covered by this prospectus may require that the trustee under such indenture shall, within 90 days after the occurrence of a default, give to holders of debt securities of any series notice of all uncured and unwaived defaults with respect to such series known to it. In the case of a default, however, that results from the failure to make any payment of the principal of, premium, if any, or interest on the debt securities of any series, or in the payment of any sinking or purchase fund installment with respect to debt securities of such series, if any, the trustee may withhold such notice if it in good faith determines that the withholding of such notice is in the interest of the holders of debt securities of such series. Any terms and provisions relating to the foregoing types of provisions will be described in further detail in the applicable prospectus supplement.</w:t>
      </w:r>
    </w:p>
    <w:p>
      <w:pPr>
        <w:spacing w:after="0" w:line="133" w:lineRule="exact"/>
        <w:rPr>
          <w:sz w:val="20"/>
          <w:szCs w:val="20"/>
          <w:color w:val="auto"/>
        </w:rPr>
      </w:pPr>
    </w:p>
    <w:p>
      <w:pPr>
        <w:ind w:left="1520" w:right="479"/>
        <w:spacing w:after="0" w:line="278" w:lineRule="auto"/>
        <w:rPr>
          <w:sz w:val="20"/>
          <w:szCs w:val="20"/>
          <w:color w:val="auto"/>
        </w:rPr>
      </w:pPr>
      <w:r>
        <w:rPr>
          <w:rFonts w:ascii="Times New Roman" w:cs="Times New Roman" w:eastAsia="Times New Roman" w:hAnsi="Times New Roman"/>
          <w:sz w:val="13"/>
          <w:szCs w:val="13"/>
          <w:color w:val="auto"/>
        </w:rPr>
        <w:t>Any indenture that governs our debt securities covered by this prospectus will contain a provision entitling the trustee to be indemnified by holders of debt securities before proceeding to exercise any trust or power under the indenture at the request of such holders. Any such indenture may provide that the holders of at least a majority in</w:t>
      </w:r>
    </w:p>
    <w:p>
      <w:pPr>
        <w:spacing w:after="0" w:line="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10159"/>
          </w:cols>
          <w:pgMar w:left="300" w:top="37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20" w:right="399"/>
        <w:spacing w:after="0" w:line="269" w:lineRule="auto"/>
        <w:rPr>
          <w:sz w:val="20"/>
          <w:szCs w:val="20"/>
          <w:color w:val="auto"/>
        </w:rPr>
      </w:pPr>
      <w:r>
        <w:rPr>
          <w:rFonts w:ascii="Times New Roman" w:cs="Times New Roman" w:eastAsia="Times New Roman" w:hAnsi="Times New Roman"/>
          <w:sz w:val="13"/>
          <w:szCs w:val="13"/>
          <w:color w:val="auto"/>
        </w:rPr>
        <w:t>aggregate principal amount of the then outstanding debt securities of any series may direct the time, method and place of conducting any proceedings for any remedy available to the trustee, or of exercising any trust or power conferred upon the trustee with respect to the debt securities of such series. However, the trustee under any such indenture may decline to follow any such direction if, among other reasons, the trustee determines in good faith that the actions or proceedings as directed may not lawfully be taken, would involve the trustee in personal liability or would be unduly prejudicial to the holders of the debt securities of such series not joining in such direction.</w:t>
      </w:r>
    </w:p>
    <w:p>
      <w:pPr>
        <w:spacing w:after="0" w:line="131" w:lineRule="exact"/>
        <w:rPr>
          <w:sz w:val="20"/>
          <w:szCs w:val="20"/>
          <w:color w:val="auto"/>
        </w:rPr>
      </w:pPr>
    </w:p>
    <w:p>
      <w:pPr>
        <w:ind w:left="1520" w:right="439"/>
        <w:spacing w:after="0" w:line="265" w:lineRule="auto"/>
        <w:rPr>
          <w:sz w:val="20"/>
          <w:szCs w:val="20"/>
          <w:color w:val="auto"/>
        </w:rPr>
      </w:pPr>
      <w:r>
        <w:rPr>
          <w:rFonts w:ascii="Times New Roman" w:cs="Times New Roman" w:eastAsia="Times New Roman" w:hAnsi="Times New Roman"/>
          <w:sz w:val="13"/>
          <w:szCs w:val="13"/>
          <w:color w:val="auto"/>
        </w:rPr>
        <w:t>Any indenture that governs our debt securities covered by this prospectus may endow the holders of such debt securities to institute a proceeding with respect to such indenture, subject to certain conditions, which will be specified in the applicable prospectus supplement and which may include, that the holders of at least a majority in aggregate principal amount of the debt securities of such series then outstanding make a written request upon the trustee to exercise its power under the indenture, indemnify the trustee and afford the trustee reasonable opportunity to act. Even so, such holders may have an absolute right to receipt of the principal of or premium, if any, and interest when due, to require conversion or exchange of debt securities if such indenture provides for convertibility or exchangeability at the option of the holder and to institute suit for the enforcement of such rights. Any terms and provisions relating to the foregoing types of provisions will be described in further detail in the applicable prospectus supplement.</w:t>
      </w:r>
    </w:p>
    <w:p>
      <w:pPr>
        <w:spacing w:after="0" w:line="2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Modification of the Indenture</w:t>
      </w:r>
    </w:p>
    <w:p>
      <w:pPr>
        <w:spacing w:after="0" w:line="95" w:lineRule="exact"/>
        <w:rPr>
          <w:sz w:val="20"/>
          <w:szCs w:val="20"/>
          <w:color w:val="auto"/>
        </w:rPr>
      </w:pPr>
    </w:p>
    <w:p>
      <w:pPr>
        <w:ind w:left="1520" w:right="439"/>
        <w:spacing w:after="0" w:line="298" w:lineRule="auto"/>
        <w:rPr>
          <w:sz w:val="20"/>
          <w:szCs w:val="20"/>
          <w:color w:val="auto"/>
        </w:rPr>
      </w:pPr>
      <w:r>
        <w:rPr>
          <w:rFonts w:ascii="Times New Roman" w:cs="Times New Roman" w:eastAsia="Times New Roman" w:hAnsi="Times New Roman"/>
          <w:sz w:val="13"/>
          <w:szCs w:val="13"/>
          <w:color w:val="auto"/>
        </w:rPr>
        <w:t>We and the trustee may modify any indenture that governs our debt securities of any series covered by this prospectus with or without the consent of the holders of such debt securities, under certain circumstances to be described in a prospectus supplement.</w:t>
      </w:r>
    </w:p>
    <w:p>
      <w:pPr>
        <w:spacing w:after="0" w:line="1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Defeasance; Satisfaction and Discharge</w:t>
      </w:r>
    </w:p>
    <w:p>
      <w:pPr>
        <w:spacing w:after="0" w:line="95" w:lineRule="exact"/>
        <w:rPr>
          <w:sz w:val="20"/>
          <w:szCs w:val="20"/>
          <w:color w:val="auto"/>
        </w:rPr>
      </w:pPr>
    </w:p>
    <w:p>
      <w:pPr>
        <w:ind w:left="1520" w:right="539"/>
        <w:spacing w:after="0" w:line="298" w:lineRule="auto"/>
        <w:rPr>
          <w:sz w:val="20"/>
          <w:szCs w:val="20"/>
          <w:color w:val="auto"/>
        </w:rPr>
      </w:pPr>
      <w:r>
        <w:rPr>
          <w:rFonts w:ascii="Times New Roman" w:cs="Times New Roman" w:eastAsia="Times New Roman" w:hAnsi="Times New Roman"/>
          <w:sz w:val="13"/>
          <w:szCs w:val="13"/>
          <w:color w:val="auto"/>
        </w:rPr>
        <w:t>The prospectus supplement will outline the conditions under which we may elect to have certain of our obligations under the indenture discharged and under which the indenture obligations will be deemed to be satisfied.</w:t>
      </w:r>
    </w:p>
    <w:p>
      <w:pPr>
        <w:spacing w:after="0" w:line="1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Regarding the Trustee</w:t>
      </w:r>
    </w:p>
    <w:p>
      <w:pPr>
        <w:spacing w:after="0" w:line="95" w:lineRule="exact"/>
        <w:rPr>
          <w:sz w:val="20"/>
          <w:szCs w:val="20"/>
          <w:color w:val="auto"/>
        </w:rPr>
      </w:pPr>
    </w:p>
    <w:p>
      <w:pPr>
        <w:ind w:left="1520" w:right="399"/>
        <w:spacing w:after="0" w:line="268" w:lineRule="auto"/>
        <w:rPr>
          <w:sz w:val="20"/>
          <w:szCs w:val="20"/>
          <w:color w:val="auto"/>
        </w:rPr>
      </w:pPr>
      <w:r>
        <w:rPr>
          <w:rFonts w:ascii="Times New Roman" w:cs="Times New Roman" w:eastAsia="Times New Roman" w:hAnsi="Times New Roman"/>
          <w:sz w:val="13"/>
          <w:szCs w:val="13"/>
          <w:color w:val="auto"/>
        </w:rPr>
        <w:t>We will identify the trustee and any relationship that we may have with such trustee, with respect to any series of debt securities, in the prospectus supplement relating to the applicable debt securities. You should note that if the trustee becomes a creditor of us,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37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Governing Law</w:t>
      </w:r>
    </w:p>
    <w:p>
      <w:pPr>
        <w:spacing w:after="0" w:line="95" w:lineRule="exact"/>
        <w:rPr>
          <w:sz w:val="20"/>
          <w:szCs w:val="20"/>
          <w:color w:val="auto"/>
        </w:rPr>
      </w:pPr>
    </w:p>
    <w:p>
      <w:pPr>
        <w:ind w:left="1520" w:right="699"/>
        <w:spacing w:after="0" w:line="298" w:lineRule="auto"/>
        <w:rPr>
          <w:sz w:val="20"/>
          <w:szCs w:val="20"/>
          <w:color w:val="auto"/>
        </w:rPr>
      </w:pPr>
      <w:r>
        <w:rPr>
          <w:rFonts w:ascii="Times New Roman" w:cs="Times New Roman" w:eastAsia="Times New Roman" w:hAnsi="Times New Roman"/>
          <w:sz w:val="13"/>
          <w:szCs w:val="13"/>
          <w:color w:val="auto"/>
        </w:rPr>
        <w:t>The law governing the indenture and the debt securities will be identified in the prospectus supplement relating to the applicable indenture and debt securities.</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10159"/>
          </w:cols>
          <w:pgMar w:left="300" w:top="37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DESCRIPTION OF SUBSCRIPTION RIGHTS</w:t>
      </w:r>
    </w:p>
    <w:p>
      <w:pPr>
        <w:spacing w:after="0" w:line="178" w:lineRule="exact"/>
        <w:rPr>
          <w:sz w:val="20"/>
          <w:szCs w:val="20"/>
          <w:color w:val="auto"/>
        </w:rPr>
      </w:pPr>
    </w:p>
    <w:p>
      <w:pPr>
        <w:ind w:left="1520" w:right="439"/>
        <w:spacing w:after="0" w:line="269" w:lineRule="auto"/>
        <w:rPr>
          <w:sz w:val="20"/>
          <w:szCs w:val="20"/>
          <w:color w:val="auto"/>
        </w:rPr>
      </w:pPr>
      <w:r>
        <w:rPr>
          <w:rFonts w:ascii="Times New Roman" w:cs="Times New Roman" w:eastAsia="Times New Roman" w:hAnsi="Times New Roman"/>
          <w:sz w:val="13"/>
          <w:szCs w:val="13"/>
          <w:color w:val="auto"/>
        </w:rPr>
        <w:t>We may issue subscription rights to purchase debt securities, preferred stock, shares of common stock or other securities. These rights may be issued independently or together with any other security offered hereby and may or may not be transferable by the stockholder receiving the subscription rights in such offering. The applicable prospectus supplement may add, update or change the terms and conditions of the rights as described in this prospectus. We urge you to read the applicable prospectus supplement and any related free writing prospectus, as well as the complete rights agreements and rights certificates that contain the terms of the rights.</w:t>
      </w:r>
    </w:p>
    <w:p>
      <w:pPr>
        <w:spacing w:after="0" w:line="131" w:lineRule="exact"/>
        <w:rPr>
          <w:sz w:val="20"/>
          <w:szCs w:val="20"/>
          <w:color w:val="auto"/>
        </w:rPr>
      </w:pPr>
    </w:p>
    <w:p>
      <w:pPr>
        <w:ind w:left="1520" w:right="559"/>
        <w:spacing w:after="0" w:line="298" w:lineRule="auto"/>
        <w:rPr>
          <w:sz w:val="20"/>
          <w:szCs w:val="20"/>
          <w:color w:val="auto"/>
        </w:rPr>
      </w:pPr>
      <w:r>
        <w:rPr>
          <w:rFonts w:ascii="Times New Roman" w:cs="Times New Roman" w:eastAsia="Times New Roman" w:hAnsi="Times New Roman"/>
          <w:sz w:val="13"/>
          <w:szCs w:val="13"/>
          <w:color w:val="auto"/>
        </w:rPr>
        <w:t>The applicable prospectus supplement may describe the specific terms of any offering of rights for which this prospectus is being delivered, including the following:</w:t>
      </w:r>
    </w:p>
    <w:p>
      <w:pPr>
        <w:spacing w:after="0" w:line="43" w:lineRule="exact"/>
        <w:rPr>
          <w:sz w:val="20"/>
          <w:szCs w:val="20"/>
          <w:color w:val="auto"/>
        </w:rPr>
      </w:pPr>
    </w:p>
    <w:p>
      <w:pPr>
        <w:ind w:left="2260" w:hanging="331"/>
        <w:spacing w:after="0"/>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if any, per right;</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exercise price payable for debt securities, preferred stock, shares of common stock, or other securities upon the exercise of the rights;</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rights issued or to be issued to each stockholder;</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and terms of debt securities, preferred stock, shares of common stock, or other securities which may be purchased per right;</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the rights are transferable;</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rights, including the terms, procedures and limitations relating to the exchange and exercise of the rights;</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holder’s ability to exercise the rights shall commence, and the date on which the rights shall expire;</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the rights may include an over-subscription privilege with respect to unsubscribed securities; and</w:t>
      </w:r>
    </w:p>
    <w:p>
      <w:pPr>
        <w:spacing w:after="0" w:line="102" w:lineRule="exact"/>
        <w:rPr>
          <w:rFonts w:ascii="Times New Roman" w:cs="Times New Roman" w:eastAsia="Times New Roman" w:hAnsi="Times New Roman"/>
          <w:sz w:val="13"/>
          <w:szCs w:val="13"/>
          <w:color w:val="auto"/>
        </w:rPr>
      </w:pPr>
    </w:p>
    <w:p>
      <w:pPr>
        <w:ind w:left="2260" w:right="439" w:hanging="331"/>
        <w:spacing w:after="0" w:line="298" w:lineRule="auto"/>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material terms of any standby underwriting or purchase arrangement entered into by us in connection with the offering of such rights.</w:t>
      </w:r>
    </w:p>
    <w:p>
      <w:pPr>
        <w:spacing w:after="0" w:line="113" w:lineRule="exact"/>
        <w:rPr>
          <w:sz w:val="20"/>
          <w:szCs w:val="20"/>
          <w:color w:val="auto"/>
        </w:rPr>
      </w:pPr>
    </w:p>
    <w:p>
      <w:pPr>
        <w:ind w:left="1520" w:right="419"/>
        <w:spacing w:after="0" w:line="266" w:lineRule="auto"/>
        <w:rPr>
          <w:sz w:val="20"/>
          <w:szCs w:val="20"/>
          <w:color w:val="auto"/>
        </w:rPr>
      </w:pPr>
      <w:r>
        <w:rPr>
          <w:rFonts w:ascii="Times New Roman" w:cs="Times New Roman" w:eastAsia="Times New Roman" w:hAnsi="Times New Roman"/>
          <w:sz w:val="13"/>
          <w:szCs w:val="13"/>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applicable securities purchased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with one or more underwriters or other purchasers, pursuant to which the underwriters or other purchasers may be required to purchase any securities remaining unsubscribed for after such offering, as described in the applicable prospectus supplement.</w:t>
      </w:r>
    </w:p>
    <w:p>
      <w:pPr>
        <w:spacing w:after="0" w:line="298" w:lineRule="exact"/>
        <w:rPr>
          <w:sz w:val="20"/>
          <w:szCs w:val="20"/>
          <w:color w:val="auto"/>
        </w:rPr>
      </w:pPr>
    </w:p>
    <w:p>
      <w:pPr>
        <w:ind w:left="1520" w:right="839"/>
        <w:spacing w:after="0" w:line="298" w:lineRule="auto"/>
        <w:rPr>
          <w:sz w:val="20"/>
          <w:szCs w:val="20"/>
          <w:color w:val="auto"/>
        </w:rPr>
      </w:pPr>
      <w:r>
        <w:rPr>
          <w:rFonts w:ascii="Times New Roman" w:cs="Times New Roman" w:eastAsia="Times New Roman" w:hAnsi="Times New Roman"/>
          <w:sz w:val="13"/>
          <w:szCs w:val="13"/>
          <w:color w:val="auto"/>
        </w:rPr>
        <w:t>The description in the applicable prospectus supplement of any rights that we may offer will not necessarily be complete and will be subject, and qualified in its entirety by reference, to the applicable rights agreement and rights certificate, which will be filed with the SEC.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10159"/>
          </w:cols>
          <w:pgMar w:left="300" w:top="375"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DESCRIPTION OF OUR UNITS</w:t>
      </w:r>
    </w:p>
    <w:p>
      <w:pPr>
        <w:spacing w:after="0" w:line="178" w:lineRule="exact"/>
        <w:rPr>
          <w:sz w:val="20"/>
          <w:szCs w:val="20"/>
          <w:color w:val="auto"/>
        </w:rPr>
      </w:pPr>
    </w:p>
    <w:p>
      <w:pPr>
        <w:ind w:left="1520" w:right="399"/>
        <w:spacing w:after="0" w:line="265" w:lineRule="auto"/>
        <w:rPr>
          <w:sz w:val="20"/>
          <w:szCs w:val="20"/>
          <w:color w:val="auto"/>
        </w:rPr>
      </w:pPr>
      <w:r>
        <w:rPr>
          <w:rFonts w:ascii="Times New Roman" w:cs="Times New Roman" w:eastAsia="Times New Roman" w:hAnsi="Times New Roman"/>
          <w:sz w:val="13"/>
          <w:szCs w:val="13"/>
          <w:color w:val="auto"/>
        </w:rPr>
        <w:t>The following description, together with the additional information we include in any applicable prospectus supplement, summarizes the material terms and provisions of the units that we may offer under this prospectus. 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298" w:lineRule="exact"/>
        <w:rPr>
          <w:sz w:val="20"/>
          <w:szCs w:val="20"/>
          <w:color w:val="auto"/>
        </w:rPr>
      </w:pPr>
    </w:p>
    <w:p>
      <w:pPr>
        <w:ind w:left="1520" w:right="439"/>
        <w:spacing w:after="0" w:line="269" w:lineRule="auto"/>
        <w:rPr>
          <w:sz w:val="20"/>
          <w:szCs w:val="20"/>
          <w:color w:val="auto"/>
        </w:rPr>
      </w:pPr>
      <w:r>
        <w:rPr>
          <w:rFonts w:ascii="Times New Roman" w:cs="Times New Roman" w:eastAsia="Times New Roman" w:hAnsi="Times New Roman"/>
          <w:sz w:val="13"/>
          <w:szCs w:val="13"/>
          <w:color w:val="auto"/>
        </w:rPr>
        <w:t>We will incorporate by reference into the registration statement of which this prospectus forms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General</w:t>
      </w:r>
    </w:p>
    <w:p>
      <w:pPr>
        <w:spacing w:after="0" w:line="95" w:lineRule="exact"/>
        <w:rPr>
          <w:sz w:val="20"/>
          <w:szCs w:val="20"/>
          <w:color w:val="auto"/>
        </w:rPr>
      </w:pPr>
    </w:p>
    <w:p>
      <w:pPr>
        <w:ind w:left="1520" w:right="679"/>
        <w:spacing w:after="0" w:line="272" w:lineRule="auto"/>
        <w:rPr>
          <w:sz w:val="20"/>
          <w:szCs w:val="20"/>
          <w:color w:val="auto"/>
        </w:rPr>
      </w:pPr>
      <w:r>
        <w:rPr>
          <w:rFonts w:ascii="Times New Roman" w:cs="Times New Roman" w:eastAsia="Times New Roman" w:hAnsi="Times New Roman"/>
          <w:sz w:val="13"/>
          <w:szCs w:val="13"/>
          <w:color w:val="auto"/>
        </w:rPr>
        <w:t>We may issue units comprised of the other types of securities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3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We will describe in the applicable prospectus supplement the terms of the series of units, including:</w:t>
      </w:r>
    </w:p>
    <w:p>
      <w:pPr>
        <w:spacing w:after="0" w:line="103" w:lineRule="exact"/>
        <w:rPr>
          <w:sz w:val="20"/>
          <w:szCs w:val="20"/>
          <w:color w:val="auto"/>
        </w:rPr>
      </w:pPr>
    </w:p>
    <w:p>
      <w:pPr>
        <w:ind w:left="2260" w:right="559" w:hanging="331"/>
        <w:spacing w:after="0" w:line="298" w:lineRule="auto"/>
        <w:tabs>
          <w:tab w:leader="none" w:pos="22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and terms of the units and of the securities comprising the units, including whether, and under what circumstances, those securities may be held or transferred separately;</w:t>
      </w:r>
    </w:p>
    <w:p>
      <w:pPr>
        <w:spacing w:after="0" w:line="4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and obligations of the unit agent, if any;</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provisions of the governing unit agreement that differ from those described below; and</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provisions for the issuance, payment, settlement, transfer or exchange of the units or of the securities comprising the units.</w:t>
      </w:r>
    </w:p>
    <w:p>
      <w:pPr>
        <w:spacing w:after="0" w:line="174" w:lineRule="exact"/>
        <w:rPr>
          <w:sz w:val="20"/>
          <w:szCs w:val="20"/>
          <w:color w:val="auto"/>
        </w:rPr>
      </w:pPr>
    </w:p>
    <w:p>
      <w:pPr>
        <w:ind w:left="1520" w:right="479"/>
        <w:spacing w:after="0" w:line="278" w:lineRule="auto"/>
        <w:rPr>
          <w:sz w:val="20"/>
          <w:szCs w:val="20"/>
          <w:color w:val="auto"/>
        </w:rPr>
      </w:pPr>
      <w:r>
        <w:rPr>
          <w:rFonts w:ascii="Times New Roman" w:cs="Times New Roman" w:eastAsia="Times New Roman" w:hAnsi="Times New Roman"/>
          <w:sz w:val="13"/>
          <w:szCs w:val="13"/>
          <w:color w:val="auto"/>
        </w:rPr>
        <w:t>The provisions described in this section, as well as those described under “Description of Our Shares of Common Stock,” “Description of our Preferred Stock,” “Description of Our Debt Securities,” “Description of Our Warrants” and “Subscription Rights” will apply to each unit and to any shares of common stock, preferred stock, debt securities, warrants and subscription rights included in each unit, respectively.</w:t>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Issuance in Series</w:t>
      </w:r>
    </w:p>
    <w:p>
      <w:pPr>
        <w:spacing w:after="0" w:line="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We may issue units in such amounts and in numerous distinct series as we determine.</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10159"/>
          </w:cols>
          <w:pgMar w:left="300" w:top="375"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78" w:lineRule="exact"/>
        <w:rPr>
          <w:sz w:val="20"/>
          <w:szCs w:val="20"/>
          <w:color w:val="auto"/>
        </w:rPr>
      </w:pPr>
    </w:p>
    <w:p>
      <w:pPr>
        <w:ind w:left="1520" w:right="479"/>
        <w:spacing w:after="0" w:line="268" w:lineRule="auto"/>
        <w:rPr>
          <w:sz w:val="20"/>
          <w:szCs w:val="20"/>
          <w:color w:val="auto"/>
        </w:rPr>
      </w:pPr>
      <w:r>
        <w:rPr>
          <w:rFonts w:ascii="Times New Roman" w:cs="Times New Roman" w:eastAsia="Times New Roman" w:hAnsi="Times New Roman"/>
          <w:sz w:val="13"/>
          <w:szCs w:val="13"/>
          <w:color w:val="auto"/>
        </w:rPr>
        <w:t>We file annual, quarterly and current reports, proxy statements and other information with the SEC. The SEC maintains an Internet website at www.sec.gov that contains reports, proxy and information statements, and other information regarding issuers that file electronically with the SEC. Our reports on Forms 10-K, 10-Q and 8-K, and amendments to those reports, are also available for download, free of charge, as soon as reasonably practicable after these reports are filed with, or furnished to, the SEC, at our website at www.plustherapeutics.com. Information contained on or accessible through our website is not a part of this prospectus or any prospectus supplement, and the inclusion of our website address in this prospectus is an inactive textual reference only.</w:t>
      </w: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10159"/>
          </w:cols>
          <w:pgMar w:left="300" w:top="375"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INCORPORATION BY REFERENCE</w:t>
      </w:r>
    </w:p>
    <w:p>
      <w:pPr>
        <w:spacing w:after="0" w:line="178" w:lineRule="exact"/>
        <w:rPr>
          <w:sz w:val="20"/>
          <w:szCs w:val="20"/>
          <w:color w:val="auto"/>
        </w:rPr>
      </w:pPr>
    </w:p>
    <w:p>
      <w:pPr>
        <w:ind w:left="1520" w:right="399"/>
        <w:spacing w:after="0" w:line="264" w:lineRule="auto"/>
        <w:rPr>
          <w:sz w:val="20"/>
          <w:szCs w:val="20"/>
          <w:color w:val="auto"/>
        </w:rPr>
      </w:pPr>
      <w:r>
        <w:rPr>
          <w:rFonts w:ascii="Times New Roman" w:cs="Times New Roman" w:eastAsia="Times New Roman" w:hAnsi="Times New Roman"/>
          <w:sz w:val="13"/>
          <w:szCs w:val="13"/>
          <w:color w:val="auto"/>
        </w:rPr>
        <w:t>The SEC allows us to “incorporate by reference” into this prospectus the information in other documents that we file with it. This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 We incorporate by reference in this prospectus (i) the documents listed below, (ii) all documents that we file with the SEC under Section 13(a), 13(c), 14 or 15(d) of the Exchange Act after the date of the initial filing of the registration statement of which this prospectus is included and prior to the effectiveness of such registration statement, and (iii) and any future filings that we may make with the SEC under Sections 13(a), 13(c), 14, or 15(d) of the Exchange Act prior to the termination of the offering under this prospectus; provided, however, that we are not incorporating, in each case, any documents or information deemed to have been furnished and not filed, including any information that we disclose under Items 2.02 or 7.01 of any Current Report on Form 8-K, in accordance with SEC rules:</w:t>
      </w:r>
    </w:p>
    <w:p>
      <w:pPr>
        <w:spacing w:after="0" w:line="65" w:lineRule="exact"/>
        <w:rPr>
          <w:sz w:val="20"/>
          <w:szCs w:val="20"/>
          <w:color w:val="auto"/>
        </w:rPr>
      </w:pPr>
    </w:p>
    <w:p>
      <w:pPr>
        <w:ind w:left="2260" w:hanging="331"/>
        <w:spacing w:after="0"/>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Annual Report on </w:t>
      </w:r>
      <w:hyperlink r:id="rId59">
        <w:r>
          <w:rPr>
            <w:rFonts w:ascii="Times New Roman" w:cs="Times New Roman" w:eastAsia="Times New Roman" w:hAnsi="Times New Roman"/>
            <w:sz w:val="13"/>
            <w:szCs w:val="13"/>
            <w:u w:val="single" w:color="auto"/>
            <w:color w:val="0000EE"/>
          </w:rPr>
          <w:t>Form 10-K</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year ended December 31, 2025 (filed with the SEC on March 12, 2026);</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Quarterly Report on </w:t>
      </w:r>
      <w:hyperlink r:id="rId60">
        <w:r>
          <w:rPr>
            <w:rFonts w:ascii="Times New Roman" w:cs="Times New Roman" w:eastAsia="Times New Roman" w:hAnsi="Times New Roman"/>
            <w:sz w:val="13"/>
            <w:szCs w:val="13"/>
            <w:u w:val="single" w:color="auto"/>
            <w:color w:val="0000EE"/>
          </w:rPr>
          <w:t>Form 10-Q</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quarter ended March 31, 2026 (filed with the SEC on May 15, 2026);</w:t>
      </w:r>
    </w:p>
    <w:p>
      <w:pPr>
        <w:spacing w:after="0" w:line="102" w:lineRule="exact"/>
        <w:rPr>
          <w:rFonts w:ascii="Times New Roman" w:cs="Times New Roman" w:eastAsia="Times New Roman" w:hAnsi="Times New Roman"/>
          <w:sz w:val="13"/>
          <w:szCs w:val="13"/>
          <w:color w:val="auto"/>
        </w:rPr>
      </w:pPr>
    </w:p>
    <w:p>
      <w:pPr>
        <w:ind w:left="2260" w:right="499" w:hanging="331"/>
        <w:spacing w:after="0" w:line="271" w:lineRule="auto"/>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Current Reports on Form 8-K filed with the SEC on </w:t>
      </w:r>
      <w:hyperlink r:id="rId61">
        <w:r>
          <w:rPr>
            <w:rFonts w:ascii="Times New Roman" w:cs="Times New Roman" w:eastAsia="Times New Roman" w:hAnsi="Times New Roman"/>
            <w:sz w:val="13"/>
            <w:szCs w:val="13"/>
            <w:u w:val="single" w:color="auto"/>
            <w:color w:val="0000EE"/>
          </w:rPr>
          <w:t>January 16, 2026</w:t>
        </w:r>
      </w:hyperlink>
      <w:r>
        <w:rPr>
          <w:rFonts w:ascii="Times New Roman" w:cs="Times New Roman" w:eastAsia="Times New Roman" w:hAnsi="Times New Roman"/>
          <w:sz w:val="13"/>
          <w:szCs w:val="13"/>
          <w:color w:val="auto"/>
        </w:rPr>
        <w:t xml:space="preserve">, </w:t>
      </w:r>
      <w:hyperlink r:id="rId62">
        <w:r>
          <w:rPr>
            <w:rFonts w:ascii="Times New Roman" w:cs="Times New Roman" w:eastAsia="Times New Roman" w:hAnsi="Times New Roman"/>
            <w:sz w:val="13"/>
            <w:szCs w:val="13"/>
            <w:u w:val="single" w:color="auto"/>
            <w:color w:val="0000EE"/>
          </w:rPr>
          <w:t>January 22, 2026</w:t>
        </w:r>
      </w:hyperlink>
      <w:r>
        <w:rPr>
          <w:rFonts w:ascii="Times New Roman" w:cs="Times New Roman" w:eastAsia="Times New Roman" w:hAnsi="Times New Roman"/>
          <w:sz w:val="13"/>
          <w:szCs w:val="13"/>
          <w:color w:val="auto"/>
        </w:rPr>
        <w:t xml:space="preserve">, </w:t>
      </w:r>
      <w:hyperlink r:id="rId63">
        <w:r>
          <w:rPr>
            <w:rFonts w:ascii="Times New Roman" w:cs="Times New Roman" w:eastAsia="Times New Roman" w:hAnsi="Times New Roman"/>
            <w:sz w:val="13"/>
            <w:szCs w:val="13"/>
            <w:u w:val="single" w:color="auto"/>
            <w:color w:val="0000EE"/>
          </w:rPr>
          <w:t>February 13, 2026</w:t>
        </w:r>
      </w:hyperlink>
      <w:r>
        <w:rPr>
          <w:rFonts w:ascii="Times New Roman" w:cs="Times New Roman" w:eastAsia="Times New Roman" w:hAnsi="Times New Roman"/>
          <w:sz w:val="13"/>
          <w:szCs w:val="13"/>
          <w:color w:val="auto"/>
        </w:rPr>
        <w:t xml:space="preserve">, </w:t>
      </w:r>
      <w:hyperlink r:id="rId64">
        <w:r>
          <w:rPr>
            <w:rFonts w:ascii="Times New Roman" w:cs="Times New Roman" w:eastAsia="Times New Roman" w:hAnsi="Times New Roman"/>
            <w:sz w:val="13"/>
            <w:szCs w:val="13"/>
            <w:u w:val="single" w:color="auto"/>
            <w:color w:val="0000EE"/>
          </w:rPr>
          <w:t>March 12, 2026</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(the second Current Report on Form 8-K filed on such date), </w:t>
      </w:r>
      <w:hyperlink r:id="rId65">
        <w:r>
          <w:rPr>
            <w:rFonts w:ascii="Times New Roman" w:cs="Times New Roman" w:eastAsia="Times New Roman" w:hAnsi="Times New Roman"/>
            <w:sz w:val="13"/>
            <w:szCs w:val="13"/>
            <w:u w:val="single" w:color="auto"/>
            <w:color w:val="0000EE"/>
          </w:rPr>
          <w:t>March 26, 2026</w:t>
        </w:r>
      </w:hyperlink>
      <w:r>
        <w:rPr>
          <w:rFonts w:ascii="Times New Roman" w:cs="Times New Roman" w:eastAsia="Times New Roman" w:hAnsi="Times New Roman"/>
          <w:sz w:val="13"/>
          <w:szCs w:val="13"/>
          <w:color w:val="auto"/>
        </w:rPr>
        <w:t xml:space="preserve">, </w:t>
      </w:r>
      <w:hyperlink r:id="rId66">
        <w:r>
          <w:rPr>
            <w:rFonts w:ascii="Times New Roman" w:cs="Times New Roman" w:eastAsia="Times New Roman" w:hAnsi="Times New Roman"/>
            <w:sz w:val="13"/>
            <w:szCs w:val="13"/>
            <w:u w:val="single" w:color="auto"/>
            <w:color w:val="0000EE"/>
          </w:rPr>
          <w:t>April 2, 2026</w:t>
        </w:r>
      </w:hyperlink>
      <w:r>
        <w:rPr>
          <w:rFonts w:ascii="Times New Roman" w:cs="Times New Roman" w:eastAsia="Times New Roman" w:hAnsi="Times New Roman"/>
          <w:sz w:val="13"/>
          <w:szCs w:val="13"/>
          <w:color w:val="auto"/>
        </w:rPr>
        <w:t xml:space="preserve">, </w:t>
      </w:r>
      <w:hyperlink r:id="rId67">
        <w:r>
          <w:rPr>
            <w:rFonts w:ascii="Times New Roman" w:cs="Times New Roman" w:eastAsia="Times New Roman" w:hAnsi="Times New Roman"/>
            <w:sz w:val="13"/>
            <w:szCs w:val="13"/>
            <w:u w:val="single" w:color="auto"/>
            <w:color w:val="0000EE"/>
          </w:rPr>
          <w:t>April 8, 2026</w:t>
        </w:r>
      </w:hyperlink>
      <w:r>
        <w:rPr>
          <w:rFonts w:ascii="Times New Roman" w:cs="Times New Roman" w:eastAsia="Times New Roman" w:hAnsi="Times New Roman"/>
          <w:sz w:val="13"/>
          <w:szCs w:val="13"/>
          <w:color w:val="auto"/>
        </w:rPr>
        <w:t xml:space="preserve">, </w:t>
      </w:r>
      <w:hyperlink r:id="rId68">
        <w:r>
          <w:rPr>
            <w:rFonts w:ascii="Times New Roman" w:cs="Times New Roman" w:eastAsia="Times New Roman" w:hAnsi="Times New Roman"/>
            <w:sz w:val="13"/>
            <w:szCs w:val="13"/>
            <w:u w:val="single" w:color="auto"/>
            <w:color w:val="0000EE"/>
          </w:rPr>
          <w:t>April 9, 2026</w:t>
        </w:r>
      </w:hyperlink>
      <w:r>
        <w:rPr>
          <w:rFonts w:ascii="Times New Roman" w:cs="Times New Roman" w:eastAsia="Times New Roman" w:hAnsi="Times New Roman"/>
          <w:sz w:val="13"/>
          <w:szCs w:val="13"/>
          <w:color w:val="auto"/>
        </w:rPr>
        <w:t xml:space="preserve">, </w:t>
      </w:r>
      <w:hyperlink r:id="rId69">
        <w:r>
          <w:rPr>
            <w:rFonts w:ascii="Times New Roman" w:cs="Times New Roman" w:eastAsia="Times New Roman" w:hAnsi="Times New Roman"/>
            <w:sz w:val="13"/>
            <w:szCs w:val="13"/>
            <w:u w:val="single" w:color="auto"/>
            <w:color w:val="0000EE"/>
          </w:rPr>
          <w:t>April 21, 2026</w:t>
        </w:r>
      </w:hyperlink>
      <w:r>
        <w:rPr>
          <w:rFonts w:ascii="Times New Roman" w:cs="Times New Roman" w:eastAsia="Times New Roman" w:hAnsi="Times New Roman"/>
          <w:sz w:val="13"/>
          <w:szCs w:val="13"/>
          <w:color w:val="auto"/>
        </w:rPr>
        <w:t xml:space="preserve"> and </w:t>
      </w:r>
      <w:hyperlink r:id="rId70">
        <w:r>
          <w:rPr>
            <w:rFonts w:ascii="Times New Roman" w:cs="Times New Roman" w:eastAsia="Times New Roman" w:hAnsi="Times New Roman"/>
            <w:sz w:val="13"/>
            <w:szCs w:val="13"/>
            <w:u w:val="single" w:color="auto"/>
            <w:color w:val="0000EE"/>
          </w:rPr>
          <w:t>May 15, 2026</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(the second Current Report on Form 8-K filed on such date) (except for Item 2.02 and Item 7.01 of any Current Report on Form 8-K which are not deemed “filed” for purposes of Section 18 of the Exchange Act and are not incorporated by reference in this prospectus); and</w:t>
      </w:r>
    </w:p>
    <w:p>
      <w:pPr>
        <w:spacing w:after="0" w:line="223" w:lineRule="exact"/>
        <w:rPr>
          <w:rFonts w:ascii="Times New Roman" w:cs="Times New Roman" w:eastAsia="Times New Roman" w:hAnsi="Times New Roman"/>
          <w:sz w:val="13"/>
          <w:szCs w:val="13"/>
          <w:color w:val="auto"/>
        </w:rPr>
      </w:pPr>
    </w:p>
    <w:p>
      <w:pPr>
        <w:ind w:left="2260" w:right="439" w:hanging="331"/>
        <w:spacing w:after="0" w:line="298" w:lineRule="auto"/>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common stock contained in </w:t>
      </w:r>
      <w:hyperlink r:id="rId71">
        <w:r>
          <w:rPr>
            <w:rFonts w:ascii="Times New Roman" w:cs="Times New Roman" w:eastAsia="Times New Roman" w:hAnsi="Times New Roman"/>
            <w:sz w:val="13"/>
            <w:szCs w:val="13"/>
            <w:u w:val="single" w:color="auto"/>
            <w:color w:val="0000EE"/>
          </w:rPr>
          <w:t>Exhibit 4.1</w:t>
        </w:r>
      </w:hyperlink>
      <w:r>
        <w:rPr>
          <w:rFonts w:ascii="Times New Roman" w:cs="Times New Roman" w:eastAsia="Times New Roman" w:hAnsi="Times New Roman"/>
          <w:sz w:val="13"/>
          <w:szCs w:val="13"/>
          <w:color w:val="auto"/>
        </w:rPr>
        <w:t>—Description of Securities to our Annual Report on Form 10-K for the fiscal year ended December 31, 2025, filed with the SEC on March 12, 2026.</w:t>
      </w:r>
    </w:p>
    <w:p>
      <w:pPr>
        <w:spacing w:after="0" w:line="113" w:lineRule="exact"/>
        <w:rPr>
          <w:rFonts w:ascii="Times New Roman" w:cs="Times New Roman" w:eastAsia="Times New Roman" w:hAnsi="Times New Roman"/>
          <w:sz w:val="13"/>
          <w:szCs w:val="13"/>
          <w:color w:val="auto"/>
        </w:rPr>
      </w:pPr>
    </w:p>
    <w:p>
      <w:pPr>
        <w:ind w:left="1520" w:right="399"/>
        <w:spacing w:after="0" w:line="264" w:lineRule="auto"/>
        <w:rPr>
          <w:sz w:val="20"/>
          <w:szCs w:val="20"/>
          <w:color w:val="auto"/>
        </w:rPr>
      </w:pPr>
      <w:r>
        <w:rPr>
          <w:rFonts w:ascii="Times New Roman" w:cs="Times New Roman" w:eastAsia="Times New Roman" w:hAnsi="Times New Roman"/>
          <w:sz w:val="13"/>
          <w:szCs w:val="13"/>
          <w:color w:val="auto"/>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oral or written requests by one of the following methods. Attention: Investor Relations, Plus Therapeutics, Inc., 6420 Levit Green Boulevard, Suite 310, Houston, Texas 77021, (737) 255-7194. You may also access these documents, free of charge on the SEC’s website at www.sec.gov or on the “Investors” page of our website at www.plustherapeutics.com. The information found on our website, or that may be accessed by links on our website, is not part of this prospectus. We have included our website address solely as an inactive textual reference. Investors should not rely on any such information in deciding whether to purchase our common stock.</w:t>
      </w:r>
    </w:p>
    <w:p>
      <w:pPr>
        <w:spacing w:after="0" w:line="296"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78" w:lineRule="exact"/>
        <w:rPr>
          <w:rFonts w:ascii="Times New Roman" w:cs="Times New Roman" w:eastAsia="Times New Roman" w:hAnsi="Times New Roman"/>
          <w:sz w:val="13"/>
          <w:szCs w:val="13"/>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validity of any securities offered by this prospectus will be passed upon for us by Sullivan &amp; Worcester LLP, New York, New York.</w:t>
      </w:r>
    </w:p>
    <w:p>
      <w:pPr>
        <w:spacing w:after="0" w:line="331"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8" w:lineRule="exact"/>
        <w:rPr>
          <w:rFonts w:ascii="Times New Roman" w:cs="Times New Roman" w:eastAsia="Times New Roman" w:hAnsi="Times New Roman"/>
          <w:sz w:val="13"/>
          <w:szCs w:val="13"/>
          <w:color w:val="auto"/>
        </w:rPr>
      </w:pPr>
    </w:p>
    <w:p>
      <w:pPr>
        <w:ind w:left="1520" w:right="419" w:firstLine="329"/>
        <w:spacing w:after="0" w:line="298" w:lineRule="auto"/>
        <w:rPr>
          <w:sz w:val="20"/>
          <w:szCs w:val="20"/>
          <w:color w:val="auto"/>
        </w:rPr>
      </w:pPr>
      <w:r>
        <w:rPr>
          <w:rFonts w:ascii="Times New Roman" w:cs="Times New Roman" w:eastAsia="Times New Roman" w:hAnsi="Times New Roman"/>
          <w:sz w:val="13"/>
          <w:szCs w:val="13"/>
          <w:color w:val="auto"/>
        </w:rPr>
        <w:t>The consolidated financial statements of Plus Therapeutics, Inc. (the Company) as of December 31, 2025 and for the year then ended incorporated by reference in this Prospectus and in the Registration Statement have</w:t>
      </w:r>
    </w:p>
    <w:p>
      <w:pPr>
        <w:spacing w:after="0" w:line="63" w:lineRule="exact"/>
        <w:rPr>
          <w:rFonts w:ascii="Times New Roman" w:cs="Times New Roman" w:eastAsia="Times New Roman" w:hAnsi="Times New Roman"/>
          <w:sz w:val="13"/>
          <w:szCs w:val="13"/>
          <w:color w:val="auto"/>
        </w:rPr>
      </w:pPr>
    </w:p>
    <w:p>
      <w:pPr>
        <w:ind w:left="5580"/>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10159"/>
          </w:cols>
          <w:pgMar w:left="300" w:top="37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jc w:val="both"/>
        <w:ind w:left="1520" w:right="499"/>
        <w:spacing w:after="0" w:line="278" w:lineRule="auto"/>
        <w:rPr>
          <w:sz w:val="20"/>
          <w:szCs w:val="20"/>
          <w:color w:val="auto"/>
        </w:rPr>
      </w:pPr>
      <w:r>
        <w:rPr>
          <w:rFonts w:ascii="Times New Roman" w:cs="Times New Roman" w:eastAsia="Times New Roman" w:hAnsi="Times New Roman"/>
          <w:sz w:val="13"/>
          <w:szCs w:val="13"/>
          <w:color w:val="auto"/>
        </w:rPr>
        <w:t>been so incorporated in reliance on the report of CBIZ CPAs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27" w:lineRule="exact"/>
        <w:rPr>
          <w:sz w:val="20"/>
          <w:szCs w:val="20"/>
          <w:color w:val="auto"/>
        </w:rPr>
      </w:pPr>
    </w:p>
    <w:p>
      <w:pPr>
        <w:ind w:left="1520" w:right="419" w:firstLine="329"/>
        <w:spacing w:after="0" w:line="272" w:lineRule="auto"/>
        <w:rPr>
          <w:sz w:val="20"/>
          <w:szCs w:val="20"/>
          <w:color w:val="auto"/>
        </w:rPr>
      </w:pPr>
      <w:r>
        <w:rPr>
          <w:rFonts w:ascii="Times New Roman" w:cs="Times New Roman" w:eastAsia="Times New Roman" w:hAnsi="Times New Roman"/>
          <w:sz w:val="13"/>
          <w:szCs w:val="13"/>
          <w:color w:val="auto"/>
        </w:rPr>
        <w:t>The consolidated financial statements of Plus Therapeutics, Inc. (the Company) as of December 31, 2024 and for the year then ended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10159"/>
          </w:cols>
          <w:pgMar w:left="300" w:top="375"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184785</wp:posOffset>
            </wp:positionV>
            <wp:extent cx="5231130"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5231130" cy="12700"/>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223520</wp:posOffset>
            </wp:positionV>
            <wp:extent cx="523113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486410</wp:posOffset>
            </wp:positionV>
            <wp:extent cx="743585" cy="250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43585" cy="250190"/>
                    </a:xfrm>
                    <a:prstGeom prst="rect">
                      <a:avLst/>
                    </a:prstGeom>
                    <a:noFill/>
                  </pic:spPr>
                </pic:pic>
              </a:graphicData>
            </a:graphic>
          </wp:anchor>
        </w:drawing>
      </w:r>
    </w:p>
    <w:p>
      <w:pPr>
        <w:sectPr>
          <w:pgSz w:w="11900" w:h="16838" w:orient="portrait"/>
          <w:cols w:equalWidth="0" w:num="1">
            <w:col w:w="10159"/>
          </w:cols>
          <w:pgMar w:left="300" w:top="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$100,000,000</w:t>
      </w:r>
    </w:p>
    <w:p>
      <w:pPr>
        <w:spacing w:after="0" w:line="16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1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1489710</wp:posOffset>
            </wp:positionV>
            <wp:extent cx="110236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11023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186055</wp:posOffset>
            </wp:positionV>
            <wp:extent cx="110236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11023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332105</wp:posOffset>
            </wp:positionV>
            <wp:extent cx="523113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377190</wp:posOffset>
            </wp:positionV>
            <wp:extent cx="5231130"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5231130" cy="12700"/>
                    </a:xfrm>
                    <a:prstGeom prst="rect">
                      <a:avLst/>
                    </a:prstGeom>
                    <a:noFill/>
                  </pic:spPr>
                </pic:pic>
              </a:graphicData>
            </a:graphic>
          </wp:anchor>
        </w:drawing>
      </w:r>
    </w:p>
    <w:p>
      <w:pPr>
        <w:sectPr>
          <w:pgSz w:w="11900" w:h="16838" w:orient="portrait"/>
          <w:cols w:equalWidth="0" w:num="1">
            <w:col w:w="10159"/>
          </w:cols>
          <w:pgMar w:left="300" w:top="375"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861"/>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until the registration statement</w:t>
            </w:r>
          </w:p>
        </w:tc>
        <w:tc>
          <w:tcPr>
            <w:tcW w:w="160" w:type="dxa"/>
            <w:vAlign w:val="bottom"/>
            <w:textDirection w:val="btLr"/>
          </w:tcPr>
          <w:p>
            <w:pPr>
              <w:ind w:left="11"/>
              <w:spacing w:after="0"/>
              <w:rPr>
                <w:sz w:val="20"/>
                <w:szCs w:val="20"/>
                <w:color w:val="auto"/>
              </w:rPr>
            </w:pPr>
            <w:r>
              <w:rPr>
                <w:rFonts w:ascii="Times New Roman" w:cs="Times New Roman" w:eastAsia="Times New Roman" w:hAnsi="Times New Roman"/>
                <w:sz w:val="13"/>
                <w:szCs w:val="13"/>
                <w:b w:val="1"/>
                <w:bCs w:val="1"/>
                <w:color w:val="FF4338"/>
              </w:rPr>
              <w:t>does it seek an offer to buy these</w:t>
            </w:r>
          </w:p>
        </w:tc>
        <w:tc>
          <w:tcPr>
            <w:tcW w:w="140" w:type="dxa"/>
            <w:vAlign w:val="bottom"/>
          </w:tcPr>
          <w:p>
            <w:pPr>
              <w:spacing w:after="0"/>
              <w:rPr>
                <w:sz w:val="24"/>
                <w:szCs w:val="24"/>
                <w:color w:val="auto"/>
              </w:rPr>
            </w:pPr>
          </w:p>
        </w:tc>
      </w:tr>
      <w:tr>
        <w:trPr>
          <w:trHeight w:val="631"/>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not be sold</w:t>
            </w:r>
          </w:p>
        </w:tc>
        <w:tc>
          <w:tcPr>
            <w:tcW w:w="160" w:type="dxa"/>
            <w:vAlign w:val="bottom"/>
            <w:textDirection w:val="btLr"/>
          </w:tcPr>
          <w:p>
            <w:pPr>
              <w:ind w:left="11"/>
              <w:spacing w:after="0"/>
              <w:rPr>
                <w:sz w:val="20"/>
                <w:szCs w:val="20"/>
                <w:color w:val="auto"/>
              </w:rPr>
            </w:pPr>
            <w:r>
              <w:rPr>
                <w:rFonts w:ascii="Times New Roman" w:cs="Times New Roman" w:eastAsia="Times New Roman" w:hAnsi="Times New Roman"/>
                <w:sz w:val="13"/>
                <w:szCs w:val="13"/>
                <w:b w:val="1"/>
                <w:bCs w:val="1"/>
                <w:color w:val="FF4338"/>
              </w:rPr>
              <w:t>to sell nor</w:t>
            </w:r>
          </w:p>
        </w:tc>
        <w:tc>
          <w:tcPr>
            <w:tcW w:w="140" w:type="dxa"/>
            <w:vAlign w:val="bottom"/>
          </w:tcPr>
          <w:p>
            <w:pPr>
              <w:spacing w:after="0"/>
              <w:rPr>
                <w:sz w:val="24"/>
                <w:szCs w:val="24"/>
                <w:color w:val="auto"/>
              </w:rPr>
            </w:pPr>
          </w:p>
        </w:tc>
      </w:tr>
      <w:tr>
        <w:trPr>
          <w:trHeight w:val="3016"/>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complete and may be changed. These securities may</w:t>
            </w:r>
          </w:p>
        </w:tc>
        <w:tc>
          <w:tcPr>
            <w:tcW w:w="160" w:type="dxa"/>
            <w:vAlign w:val="bottom"/>
            <w:textDirection w:val="btLr"/>
          </w:tcPr>
          <w:p>
            <w:pPr>
              <w:ind w:left="11"/>
              <w:spacing w:after="0"/>
              <w:rPr>
                <w:sz w:val="20"/>
                <w:szCs w:val="20"/>
                <w:color w:val="auto"/>
              </w:rPr>
            </w:pPr>
            <w:r>
              <w:rPr>
                <w:rFonts w:ascii="Times New Roman" w:cs="Times New Roman" w:eastAsia="Times New Roman" w:hAnsi="Times New Roman"/>
                <w:sz w:val="13"/>
                <w:szCs w:val="13"/>
                <w:b w:val="1"/>
                <w:bCs w:val="1"/>
                <w:color w:val="FF4338"/>
              </w:rPr>
              <w:t>effective. This preliminary prospectus is not an offer</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not permitted.</w:t>
            </w:r>
          </w:p>
        </w:tc>
      </w:tr>
      <w:tr>
        <w:trPr>
          <w:trHeight w:val="3083"/>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The information in this preliminary prospectus is not</w:t>
            </w:r>
          </w:p>
        </w:tc>
        <w:tc>
          <w:tcPr>
            <w:tcW w:w="160" w:type="dxa"/>
            <w:vAlign w:val="bottom"/>
            <w:textDirection w:val="btLr"/>
          </w:tcPr>
          <w:p>
            <w:pPr>
              <w:ind w:left="11"/>
              <w:spacing w:after="0"/>
              <w:rPr>
                <w:sz w:val="20"/>
                <w:szCs w:val="20"/>
                <w:color w:val="auto"/>
              </w:rPr>
            </w:pPr>
            <w:r>
              <w:rPr>
                <w:rFonts w:ascii="Times New Roman" w:cs="Times New Roman" w:eastAsia="Times New Roman" w:hAnsi="Times New Roman"/>
                <w:sz w:val="13"/>
                <w:szCs w:val="13"/>
                <w:b w:val="1"/>
                <w:bCs w:val="1"/>
                <w:color w:val="FF4338"/>
              </w:rPr>
              <w:t>filed with the Securities and Exchange Commission is</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securities in any jurisdiction where the offer or sale 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b w:val="1"/>
          <w:bCs w:val="1"/>
          <w:color w:val="FF4338"/>
        </w:rPr>
        <w:t>SUBJECT TO COMPLETION DATED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-564515</wp:posOffset>
            </wp:positionV>
            <wp:extent cx="7205345" cy="31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205345" cy="3175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133985</wp:posOffset>
            </wp:positionV>
            <wp:extent cx="743585" cy="250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43585" cy="25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Up to $17,350,000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184150</wp:posOffset>
            </wp:positionV>
            <wp:extent cx="92329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923290" cy="635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159"/>
        <w:spacing w:after="0" w:line="269" w:lineRule="auto"/>
        <w:rPr>
          <w:sz w:val="20"/>
          <w:szCs w:val="20"/>
          <w:color w:val="auto"/>
        </w:rPr>
      </w:pPr>
      <w:r>
        <w:rPr>
          <w:rFonts w:ascii="Times New Roman" w:cs="Times New Roman" w:eastAsia="Times New Roman" w:hAnsi="Times New Roman"/>
          <w:sz w:val="13"/>
          <w:szCs w:val="13"/>
          <w:color w:val="auto"/>
        </w:rPr>
        <w:t>We have entered into an equity distribution agreement dated as of June 1, 2026, (the “Equity Distribution Agreement”) with Canaccord Genuity LLC (the “Sales Agent” or “Canaccord”) relating to shares of our common stock, $0.001 par value per share, offered by this prospectus supplement and the accompanying prospectus. In accordance with the terms of the Equity Distribution Agreement, we may offer and sell shares of our common stock from time to time up to an aggregate offering price of $17,350,000 through Canaccord, acting as sales agent.</w:t>
      </w:r>
    </w:p>
    <w:p>
      <w:pPr>
        <w:spacing w:after="0" w:line="131" w:lineRule="exact"/>
        <w:rPr>
          <w:sz w:val="20"/>
          <w:szCs w:val="20"/>
          <w:color w:val="auto"/>
        </w:rPr>
      </w:pPr>
    </w:p>
    <w:p>
      <w:pPr>
        <w:ind w:right="1059"/>
        <w:spacing w:after="0" w:line="264" w:lineRule="auto"/>
        <w:rPr>
          <w:sz w:val="20"/>
          <w:szCs w:val="20"/>
          <w:color w:val="auto"/>
        </w:rPr>
      </w:pPr>
      <w:r>
        <w:rPr>
          <w:rFonts w:ascii="Times New Roman" w:cs="Times New Roman" w:eastAsia="Times New Roman" w:hAnsi="Times New Roman"/>
          <w:sz w:val="13"/>
          <w:szCs w:val="13"/>
          <w:color w:val="auto"/>
        </w:rPr>
        <w:t>Upon our delivery of a placement notice and subject to the terms and conditions of the Equity Distribution Agreement, Canaccord may sell the common stock by methods deemed to be an “at the market” offering as defined in Rule 415 promulgated under the Securities Act of 1933, as amended (the “Securities Act”), including sales made directly on The Nasdaq Capital Market (“Nasdaq”), on any other existing trading market for the common stock or to or through a market maker other than on an exchange. In addition, with our prior written approval, Canaccord may also sell the common stock by any other method permitted by law, including in privately negotiated transactions. Canaccord will act as sales agent using its commercially reasonable efforts consistent with its normal trading and sales practices and applicable state and federal laws, rules and regulations and the rules of The Nasdaq Capital Market. There is no arrangement for funds to be received in any escrow, trust or similar arrangement.</w:t>
      </w:r>
    </w:p>
    <w:p>
      <w:pPr>
        <w:spacing w:after="0" w:line="300" w:lineRule="exact"/>
        <w:rPr>
          <w:sz w:val="20"/>
          <w:szCs w:val="20"/>
          <w:color w:val="auto"/>
        </w:rPr>
      </w:pPr>
    </w:p>
    <w:p>
      <w:pPr>
        <w:ind w:right="1159"/>
        <w:spacing w:after="0" w:line="278" w:lineRule="auto"/>
        <w:rPr>
          <w:sz w:val="20"/>
          <w:szCs w:val="20"/>
          <w:color w:val="auto"/>
        </w:rPr>
      </w:pPr>
      <w:r>
        <w:rPr>
          <w:rFonts w:ascii="Times New Roman" w:cs="Times New Roman" w:eastAsia="Times New Roman" w:hAnsi="Times New Roman"/>
          <w:sz w:val="13"/>
          <w:szCs w:val="13"/>
          <w:color w:val="auto"/>
        </w:rPr>
        <w:t>We will pay Canaccord a commission, or allow a discount, for its services in acting as agent in the sale of common stock equal to 3.0% of the gross sales price per share of all shares sold through it as agent under the Equity Distribution Agreement. See “Plan of Distribution” for information relating to certain expenses of Canaccord to be reimbursed by us.</w:t>
      </w:r>
    </w:p>
    <w:p>
      <w:pPr>
        <w:spacing w:after="0" w:line="127" w:lineRule="exact"/>
        <w:rPr>
          <w:sz w:val="20"/>
          <w:szCs w:val="20"/>
          <w:color w:val="auto"/>
        </w:rPr>
      </w:pPr>
    </w:p>
    <w:p>
      <w:pPr>
        <w:ind w:right="1099"/>
        <w:spacing w:after="0" w:line="272" w:lineRule="auto"/>
        <w:rPr>
          <w:sz w:val="20"/>
          <w:szCs w:val="20"/>
          <w:color w:val="auto"/>
        </w:rPr>
      </w:pPr>
      <w:r>
        <w:rPr>
          <w:rFonts w:ascii="Times New Roman" w:cs="Times New Roman" w:eastAsia="Times New Roman" w:hAnsi="Times New Roman"/>
          <w:sz w:val="13"/>
          <w:szCs w:val="13"/>
          <w:color w:val="auto"/>
        </w:rPr>
        <w:t>In connection with the sale of common stock on our behalf, Canaccord may be deemed to be an “underwriter” within the meaning of the Securities Act and the compensation to Canaccord will be deemed to be underwriting commissions or discounts. We have also agreed to provide indemnification and contribution to Canaccord with respect to certain liabilities, including liabilities under the Securities Act.</w:t>
      </w:r>
    </w:p>
    <w:p>
      <w:pPr>
        <w:spacing w:after="0" w:line="130" w:lineRule="exact"/>
        <w:rPr>
          <w:sz w:val="20"/>
          <w:szCs w:val="20"/>
          <w:color w:val="auto"/>
        </w:rPr>
      </w:pPr>
    </w:p>
    <w:p>
      <w:pPr>
        <w:ind w:right="1239"/>
        <w:spacing w:after="0" w:line="298" w:lineRule="auto"/>
        <w:rPr>
          <w:sz w:val="20"/>
          <w:szCs w:val="20"/>
          <w:color w:val="auto"/>
        </w:rPr>
      </w:pPr>
      <w:r>
        <w:rPr>
          <w:rFonts w:ascii="Times New Roman" w:cs="Times New Roman" w:eastAsia="Times New Roman" w:hAnsi="Times New Roman"/>
          <w:sz w:val="13"/>
          <w:szCs w:val="13"/>
          <w:color w:val="auto"/>
        </w:rPr>
        <w:t>Our shares of common stock are listed on Nasdaq under the symbol “PSTV.” On May 27, 2026, the last reported sale price of our shares of common stock on Nasdaq was $6.64 per share.</w:t>
      </w:r>
    </w:p>
    <w:p>
      <w:pPr>
        <w:spacing w:after="0" w:line="113" w:lineRule="exact"/>
        <w:rPr>
          <w:sz w:val="20"/>
          <w:szCs w:val="20"/>
          <w:color w:val="auto"/>
        </w:rPr>
      </w:pPr>
    </w:p>
    <w:p>
      <w:pPr>
        <w:ind w:right="1079"/>
        <w:spacing w:after="0" w:line="265" w:lineRule="auto"/>
        <w:rPr>
          <w:sz w:val="20"/>
          <w:szCs w:val="20"/>
          <w:color w:val="auto"/>
        </w:rPr>
      </w:pPr>
      <w:r>
        <w:rPr>
          <w:rFonts w:ascii="Times New Roman" w:cs="Times New Roman" w:eastAsia="Times New Roman" w:hAnsi="Times New Roman"/>
          <w:sz w:val="13"/>
          <w:szCs w:val="13"/>
          <w:color w:val="auto"/>
        </w:rPr>
        <w:t>As of May 27, 2026, the aggregate market value of our outstanding common stock held by non-affiliates, or public float, was approximately $52,133,434 based on 6,883,897 shares of outstanding common stock, of which 6,841,658 shares were held by non-affiliates, and a price of $7.62 per share, which was the closing price at which our common stock was last sold on Nasdaq on April 22, 2026. We have offered and sold $0 of our securities pursuant to General Instruction I.B.6 of Form S-3 during the prior 12-calendar-month period that ends on and includes the date of this prospectus. Pursuant to General Instruction I.B.6 of Form S-3, in no event will we sell securities registered on this registration statement in a public primary offering with a value exceeding more than one-third of our public float in any 12-month period so long as our public float remains below $75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165735</wp:posOffset>
            </wp:positionV>
            <wp:extent cx="92329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923290" cy="6350"/>
                    </a:xfrm>
                    <a:prstGeom prst="rect">
                      <a:avLst/>
                    </a:prstGeom>
                    <a:noFill/>
                  </pic:spPr>
                </pic:pic>
              </a:graphicData>
            </a:graphic>
          </wp:anchor>
        </w:drawing>
      </w:r>
    </w:p>
    <w:p>
      <w:pPr>
        <w:spacing w:after="0" w:line="395" w:lineRule="exact"/>
        <w:rPr>
          <w:sz w:val="20"/>
          <w:szCs w:val="20"/>
          <w:color w:val="auto"/>
        </w:rPr>
      </w:pPr>
    </w:p>
    <w:p>
      <w:pPr>
        <w:ind w:right="1239"/>
        <w:spacing w:after="0" w:line="282"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Canaccord Genuity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181610</wp:posOffset>
            </wp:positionV>
            <wp:extent cx="92329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923290" cy="63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b w:val="1"/>
          <w:bCs w:val="1"/>
          <w:color w:val="auto"/>
        </w:rPr>
        <w:t>The date of this prospectus supplement is             , 2026</w:t>
      </w:r>
    </w:p>
    <w:p>
      <w:pPr>
        <w:sectPr>
          <w:pgSz w:w="11900" w:h="16838" w:orient="portrait"/>
          <w:cols w:equalWidth="0" w:num="2">
            <w:col w:w="1960" w:space="220"/>
            <w:col w:w="7979"/>
          </w:cols>
          <w:pgMar w:left="300" w:top="37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60" w:type="dxa"/>
            <w:vAlign w:val="bottom"/>
            <w:gridSpan w:val="3"/>
          </w:tcPr>
          <w:p>
            <w:pPr>
              <w:jc w:val="right"/>
              <w:ind w:right="33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0" w:type="dxa"/>
            <w:vAlign w:val="bottom"/>
          </w:tcPr>
          <w:p>
            <w:pPr>
              <w:spacing w:after="0"/>
              <w:rPr>
                <w:sz w:val="1"/>
                <w:szCs w:val="1"/>
                <w:color w:val="auto"/>
              </w:rPr>
            </w:pPr>
          </w:p>
        </w:tc>
      </w:tr>
      <w:tr>
        <w:trPr>
          <w:trHeight w:val="293"/>
        </w:trPr>
        <w:tc>
          <w:tcPr>
            <w:tcW w:w="1680" w:type="dxa"/>
            <w:vAlign w:val="bottom"/>
            <w:gridSpan w:val="7"/>
            <w:vMerge w:val="restart"/>
          </w:tcPr>
          <w:p>
            <w:pPr>
              <w:spacing w:after="0"/>
              <w:rPr>
                <w:sz w:val="20"/>
                <w:szCs w:val="20"/>
                <w:color w:val="auto"/>
              </w:rPr>
            </w:pPr>
            <w:r>
              <w:rPr>
                <w:rFonts w:ascii="Times New Roman" w:cs="Times New Roman" w:eastAsia="Times New Roman" w:hAnsi="Times New Roman"/>
                <w:sz w:val="13"/>
                <w:szCs w:val="13"/>
                <w:color w:val="0000EE"/>
              </w:rPr>
              <w:t>ABOUT THIS PROSPECTUS</w:t>
            </w:r>
          </w:p>
        </w:tc>
        <w:tc>
          <w:tcPr>
            <w:tcW w:w="1480" w:type="dxa"/>
            <w:vAlign w:val="bottom"/>
            <w:gridSpan w:val="5"/>
            <w:vMerge w:val="restart"/>
          </w:tcPr>
          <w:p>
            <w:pPr>
              <w:spacing w:after="0"/>
              <w:rPr>
                <w:sz w:val="24"/>
                <w:szCs w:val="24"/>
                <w:color w:val="auto"/>
              </w:rPr>
            </w:pPr>
          </w:p>
        </w:tc>
        <w:tc>
          <w:tcPr>
            <w:tcW w:w="474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6"/>
        </w:trPr>
        <w:tc>
          <w:tcPr>
            <w:tcW w:w="1680" w:type="dxa"/>
            <w:vAlign w:val="bottom"/>
            <w:tcBorders>
              <w:bottom w:val="single" w:sz="8" w:color="0000EE"/>
            </w:tcBorders>
            <w:gridSpan w:val="7"/>
            <w:vMerge w:val="continue"/>
          </w:tcPr>
          <w:p>
            <w:pPr>
              <w:spacing w:after="0"/>
              <w:rPr>
                <w:sz w:val="10"/>
                <w:szCs w:val="10"/>
                <w:color w:val="auto"/>
              </w:rPr>
            </w:pPr>
          </w:p>
        </w:tc>
        <w:tc>
          <w:tcPr>
            <w:tcW w:w="1480" w:type="dxa"/>
            <w:vAlign w:val="bottom"/>
            <w:gridSpan w:val="5"/>
            <w:vMerge w:val="continue"/>
          </w:tcPr>
          <w:p>
            <w:pPr>
              <w:spacing w:after="0"/>
              <w:rPr>
                <w:sz w:val="10"/>
                <w:szCs w:val="10"/>
                <w:color w:val="auto"/>
              </w:rPr>
            </w:pPr>
          </w:p>
        </w:tc>
        <w:tc>
          <w:tcPr>
            <w:tcW w:w="4740" w:type="dxa"/>
            <w:vAlign w:val="bottom"/>
          </w:tcPr>
          <w:p>
            <w:pPr>
              <w:spacing w:after="0"/>
              <w:rPr>
                <w:sz w:val="10"/>
                <w:szCs w:val="10"/>
                <w:color w:val="auto"/>
              </w:rPr>
            </w:pPr>
          </w:p>
        </w:tc>
        <w:tc>
          <w:tcPr>
            <w:tcW w:w="3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S-1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200" w:type="dxa"/>
            <w:vAlign w:val="bottom"/>
            <w:tcBorders>
              <w:bottom w:val="single" w:sz="8" w:color="0000EE"/>
            </w:tcBorders>
            <w:gridSpan w:val="8"/>
          </w:tcPr>
          <w:p>
            <w:pPr>
              <w:spacing w:after="0" w:line="142" w:lineRule="exact"/>
              <w:rPr>
                <w:sz w:val="20"/>
                <w:szCs w:val="20"/>
                <w:color w:val="auto"/>
              </w:rPr>
            </w:pPr>
            <w:r>
              <w:rPr>
                <w:rFonts w:ascii="Times New Roman" w:cs="Times New Roman" w:eastAsia="Times New Roman" w:hAnsi="Times New Roman"/>
                <w:sz w:val="13"/>
                <w:szCs w:val="13"/>
                <w:color w:val="0000EE"/>
              </w:rPr>
              <w:t>FORWARD-LOOKING STATEMENTS</w:t>
            </w:r>
          </w:p>
        </w:tc>
        <w:tc>
          <w:tcPr>
            <w:tcW w:w="960" w:type="dxa"/>
            <w:vAlign w:val="bottom"/>
            <w:gridSpan w:val="4"/>
          </w:tcPr>
          <w:p>
            <w:pPr>
              <w:spacing w:after="0"/>
              <w:rPr>
                <w:sz w:val="12"/>
                <w:szCs w:val="12"/>
                <w:color w:val="auto"/>
              </w:rPr>
            </w:pPr>
          </w:p>
        </w:tc>
        <w:tc>
          <w:tcPr>
            <w:tcW w:w="4740" w:type="dxa"/>
            <w:vAlign w:val="bottom"/>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S-3</w:t>
            </w:r>
          </w:p>
        </w:tc>
        <w:tc>
          <w:tcPr>
            <w:tcW w:w="0" w:type="dxa"/>
            <w:vAlign w:val="bottom"/>
          </w:tcPr>
          <w:p>
            <w:pPr>
              <w:spacing w:after="0"/>
              <w:rPr>
                <w:sz w:val="1"/>
                <w:szCs w:val="1"/>
                <w:color w:val="auto"/>
              </w:rPr>
            </w:pPr>
          </w:p>
        </w:tc>
      </w:tr>
      <w:tr>
        <w:trPr>
          <w:trHeight w:val="142"/>
        </w:trPr>
        <w:tc>
          <w:tcPr>
            <w:tcW w:w="3160" w:type="dxa"/>
            <w:vAlign w:val="bottom"/>
            <w:gridSpan w:val="12"/>
          </w:tcPr>
          <w:p>
            <w:pPr>
              <w:spacing w:after="0" w:line="142" w:lineRule="exact"/>
              <w:rPr>
                <w:sz w:val="20"/>
                <w:szCs w:val="20"/>
                <w:color w:val="auto"/>
              </w:rPr>
            </w:pPr>
            <w:r>
              <w:rPr>
                <w:rFonts w:ascii="Times New Roman" w:cs="Times New Roman" w:eastAsia="Times New Roman" w:hAnsi="Times New Roman"/>
                <w:sz w:val="13"/>
                <w:szCs w:val="13"/>
                <w:color w:val="0000EE"/>
              </w:rPr>
              <w:t>PROSPECTUS SUPPLEMENT SUMMARY</w:t>
            </w:r>
          </w:p>
        </w:tc>
        <w:tc>
          <w:tcPr>
            <w:tcW w:w="4740" w:type="dxa"/>
            <w:vAlign w:val="bottom"/>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S-4</w:t>
            </w:r>
          </w:p>
        </w:tc>
        <w:tc>
          <w:tcPr>
            <w:tcW w:w="0" w:type="dxa"/>
            <w:vAlign w:val="bottom"/>
          </w:tcPr>
          <w:p>
            <w:pPr>
              <w:spacing w:after="0"/>
              <w:rPr>
                <w:sz w:val="1"/>
                <w:szCs w:val="1"/>
                <w:color w:val="auto"/>
              </w:rPr>
            </w:pPr>
          </w:p>
        </w:tc>
      </w:tr>
      <w:tr>
        <w:trPr>
          <w:trHeight w:val="142"/>
        </w:trPr>
        <w:tc>
          <w:tcPr>
            <w:tcW w:w="960" w:type="dxa"/>
            <w:vAlign w:val="bottom"/>
            <w:tcBorders>
              <w:top w:val="single" w:sz="8" w:color="0000EE"/>
              <w:bottom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3"/>
                <w:szCs w:val="13"/>
                <w:color w:val="0000EE"/>
              </w:rPr>
              <w:t>THE OFFERING</w:t>
            </w:r>
          </w:p>
        </w:tc>
        <w:tc>
          <w:tcPr>
            <w:tcW w:w="1500" w:type="dxa"/>
            <w:vAlign w:val="bottom"/>
            <w:tcBorders>
              <w:top w:val="single" w:sz="8" w:color="0000EE"/>
            </w:tcBorders>
            <w:gridSpan w:val="6"/>
          </w:tcPr>
          <w:p>
            <w:pPr>
              <w:spacing w:after="0"/>
              <w:rPr>
                <w:sz w:val="12"/>
                <w:szCs w:val="12"/>
                <w:color w:val="auto"/>
              </w:rPr>
            </w:pPr>
          </w:p>
        </w:tc>
        <w:tc>
          <w:tcPr>
            <w:tcW w:w="700" w:type="dxa"/>
            <w:vAlign w:val="bottom"/>
            <w:gridSpan w:val="3"/>
          </w:tcPr>
          <w:p>
            <w:pPr>
              <w:spacing w:after="0"/>
              <w:rPr>
                <w:sz w:val="12"/>
                <w:szCs w:val="12"/>
                <w:color w:val="auto"/>
              </w:rPr>
            </w:pPr>
          </w:p>
        </w:tc>
        <w:tc>
          <w:tcPr>
            <w:tcW w:w="4740" w:type="dxa"/>
            <w:vAlign w:val="bottom"/>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S-5</w:t>
            </w:r>
          </w:p>
        </w:tc>
        <w:tc>
          <w:tcPr>
            <w:tcW w:w="0" w:type="dxa"/>
            <w:vAlign w:val="bottom"/>
          </w:tcPr>
          <w:p>
            <w:pPr>
              <w:spacing w:after="0"/>
              <w:rPr>
                <w:sz w:val="1"/>
                <w:szCs w:val="1"/>
                <w:color w:val="auto"/>
              </w:rPr>
            </w:pPr>
          </w:p>
        </w:tc>
      </w:tr>
      <w:tr>
        <w:trPr>
          <w:trHeight w:val="142"/>
        </w:trPr>
        <w:tc>
          <w:tcPr>
            <w:tcW w:w="940" w:type="dxa"/>
            <w:vAlign w:val="bottom"/>
            <w:tcBorders>
              <w:bottom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3"/>
                <w:szCs w:val="13"/>
                <w:color w:val="0000EE"/>
              </w:rPr>
              <w:t>RISK FACTORS</w:t>
            </w:r>
          </w:p>
        </w:tc>
        <w:tc>
          <w:tcPr>
            <w:tcW w:w="2220" w:type="dxa"/>
            <w:vAlign w:val="bottom"/>
            <w:gridSpan w:val="10"/>
          </w:tcPr>
          <w:p>
            <w:pPr>
              <w:spacing w:after="0"/>
              <w:rPr>
                <w:sz w:val="12"/>
                <w:szCs w:val="12"/>
                <w:color w:val="auto"/>
              </w:rPr>
            </w:pPr>
          </w:p>
        </w:tc>
        <w:tc>
          <w:tcPr>
            <w:tcW w:w="4740" w:type="dxa"/>
            <w:vAlign w:val="bottom"/>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S-7</w:t>
            </w:r>
          </w:p>
        </w:tc>
        <w:tc>
          <w:tcPr>
            <w:tcW w:w="0" w:type="dxa"/>
            <w:vAlign w:val="bottom"/>
          </w:tcPr>
          <w:p>
            <w:pPr>
              <w:spacing w:after="0"/>
              <w:rPr>
                <w:sz w:val="1"/>
                <w:szCs w:val="1"/>
                <w:color w:val="auto"/>
              </w:rPr>
            </w:pPr>
          </w:p>
        </w:tc>
      </w:tr>
      <w:tr>
        <w:trPr>
          <w:trHeight w:val="142"/>
        </w:trPr>
        <w:tc>
          <w:tcPr>
            <w:tcW w:w="3160" w:type="dxa"/>
            <w:vAlign w:val="bottom"/>
            <w:gridSpan w:val="12"/>
          </w:tcPr>
          <w:p>
            <w:pPr>
              <w:spacing w:after="0" w:line="142" w:lineRule="exact"/>
              <w:rPr>
                <w:sz w:val="20"/>
                <w:szCs w:val="20"/>
                <w:color w:val="auto"/>
              </w:rPr>
            </w:pPr>
            <w:r>
              <w:rPr>
                <w:rFonts w:ascii="Times New Roman" w:cs="Times New Roman" w:eastAsia="Times New Roman" w:hAnsi="Times New Roman"/>
                <w:sz w:val="13"/>
                <w:szCs w:val="13"/>
                <w:color w:val="0000EE"/>
              </w:rPr>
              <w:t>USE OF PROCEEDS</w:t>
            </w:r>
          </w:p>
        </w:tc>
        <w:tc>
          <w:tcPr>
            <w:tcW w:w="4740" w:type="dxa"/>
            <w:vAlign w:val="bottom"/>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S-9</w:t>
            </w:r>
          </w:p>
        </w:tc>
        <w:tc>
          <w:tcPr>
            <w:tcW w:w="0" w:type="dxa"/>
            <w:vAlign w:val="bottom"/>
          </w:tcPr>
          <w:p>
            <w:pPr>
              <w:spacing w:after="0"/>
              <w:rPr>
                <w:sz w:val="1"/>
                <w:szCs w:val="1"/>
                <w:color w:val="auto"/>
              </w:rPr>
            </w:pPr>
          </w:p>
        </w:tc>
      </w:tr>
      <w:tr>
        <w:trPr>
          <w:trHeight w:val="142"/>
        </w:trPr>
        <w:tc>
          <w:tcPr>
            <w:tcW w:w="1180" w:type="dxa"/>
            <w:vAlign w:val="bottom"/>
            <w:tcBorders>
              <w:top w:val="single" w:sz="8" w:color="0000EE"/>
            </w:tcBorders>
            <w:gridSpan w:val="5"/>
          </w:tcPr>
          <w:p>
            <w:pPr>
              <w:spacing w:after="0" w:line="142" w:lineRule="exact"/>
              <w:rPr>
                <w:sz w:val="20"/>
                <w:szCs w:val="20"/>
                <w:color w:val="auto"/>
              </w:rPr>
            </w:pPr>
            <w:r>
              <w:rPr>
                <w:rFonts w:ascii="Times New Roman" w:cs="Times New Roman" w:eastAsia="Times New Roman" w:hAnsi="Times New Roman"/>
                <w:sz w:val="13"/>
                <w:szCs w:val="13"/>
                <w:color w:val="0000EE"/>
              </w:rPr>
              <w:t>DILUTION</w:t>
            </w:r>
          </w:p>
        </w:tc>
        <w:tc>
          <w:tcPr>
            <w:tcW w:w="1980" w:type="dxa"/>
            <w:vAlign w:val="bottom"/>
            <w:gridSpan w:val="7"/>
          </w:tcPr>
          <w:p>
            <w:pPr>
              <w:spacing w:after="0"/>
              <w:rPr>
                <w:sz w:val="12"/>
                <w:szCs w:val="12"/>
                <w:color w:val="auto"/>
              </w:rPr>
            </w:pPr>
          </w:p>
        </w:tc>
        <w:tc>
          <w:tcPr>
            <w:tcW w:w="4740" w:type="dxa"/>
            <w:vAlign w:val="bottom"/>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S-10</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tcBorders>
              <w:bottom w:val="single" w:sz="8" w:color="0000EE"/>
            </w:tcBorders>
            <w:gridSpan w:val="6"/>
          </w:tcPr>
          <w:p>
            <w:pPr>
              <w:spacing w:after="0" w:line="142" w:lineRule="exact"/>
              <w:rPr>
                <w:sz w:val="20"/>
                <w:szCs w:val="20"/>
                <w:color w:val="auto"/>
              </w:rPr>
            </w:pPr>
            <w:r>
              <w:rPr>
                <w:rFonts w:ascii="Times New Roman" w:cs="Times New Roman" w:eastAsia="Times New Roman" w:hAnsi="Times New Roman"/>
                <w:sz w:val="13"/>
                <w:szCs w:val="13"/>
                <w:color w:val="0000EE"/>
              </w:rPr>
              <w:t>PLAN OF DISTRIBUTION</w:t>
            </w:r>
          </w:p>
        </w:tc>
        <w:tc>
          <w:tcPr>
            <w:tcW w:w="1620" w:type="dxa"/>
            <w:vAlign w:val="bottom"/>
            <w:gridSpan w:val="6"/>
          </w:tcPr>
          <w:p>
            <w:pPr>
              <w:spacing w:after="0"/>
              <w:rPr>
                <w:sz w:val="12"/>
                <w:szCs w:val="12"/>
                <w:color w:val="auto"/>
              </w:rPr>
            </w:pPr>
          </w:p>
        </w:tc>
        <w:tc>
          <w:tcPr>
            <w:tcW w:w="4740" w:type="dxa"/>
            <w:vAlign w:val="bottom"/>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S-11</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0000EE"/>
            </w:tcBorders>
            <w:gridSpan w:val="11"/>
          </w:tcPr>
          <w:p>
            <w:pPr>
              <w:spacing w:after="0" w:line="142" w:lineRule="exact"/>
              <w:rPr>
                <w:sz w:val="20"/>
                <w:szCs w:val="20"/>
                <w:color w:val="auto"/>
              </w:rPr>
            </w:pPr>
            <w:r>
              <w:rPr>
                <w:rFonts w:ascii="Times New Roman" w:cs="Times New Roman" w:eastAsia="Times New Roman" w:hAnsi="Times New Roman"/>
                <w:sz w:val="13"/>
                <w:szCs w:val="13"/>
                <w:color w:val="0000EE"/>
              </w:rPr>
              <w:t>DESCRIPTION OF SECURITIES WE ARE OFFERING</w:t>
            </w:r>
          </w:p>
        </w:tc>
        <w:tc>
          <w:tcPr>
            <w:tcW w:w="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S-12</w:t>
            </w:r>
          </w:p>
        </w:tc>
        <w:tc>
          <w:tcPr>
            <w:tcW w:w="0" w:type="dxa"/>
            <w:vAlign w:val="bottom"/>
          </w:tcPr>
          <w:p>
            <w:pPr>
              <w:spacing w:after="0"/>
              <w:rPr>
                <w:sz w:val="1"/>
                <w:szCs w:val="1"/>
                <w:color w:val="auto"/>
              </w:rPr>
            </w:pPr>
          </w:p>
        </w:tc>
      </w:tr>
      <w:tr>
        <w:trPr>
          <w:trHeight w:val="142"/>
        </w:trPr>
        <w:tc>
          <w:tcPr>
            <w:tcW w:w="1100" w:type="dxa"/>
            <w:vAlign w:val="bottom"/>
            <w:tcBorders>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3"/>
                <w:szCs w:val="13"/>
                <w:color w:val="0000EE"/>
              </w:rPr>
              <w:t>LEGAL MATTERS</w:t>
            </w:r>
          </w:p>
        </w:tc>
        <w:tc>
          <w:tcPr>
            <w:tcW w:w="2060" w:type="dxa"/>
            <w:vAlign w:val="bottom"/>
            <w:gridSpan w:val="8"/>
          </w:tcPr>
          <w:p>
            <w:pPr>
              <w:spacing w:after="0"/>
              <w:rPr>
                <w:sz w:val="12"/>
                <w:szCs w:val="12"/>
                <w:color w:val="auto"/>
              </w:rPr>
            </w:pPr>
          </w:p>
        </w:tc>
        <w:tc>
          <w:tcPr>
            <w:tcW w:w="4740" w:type="dxa"/>
            <w:vAlign w:val="bottom"/>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S-12</w:t>
            </w:r>
          </w:p>
        </w:tc>
        <w:tc>
          <w:tcPr>
            <w:tcW w:w="0" w:type="dxa"/>
            <w:vAlign w:val="bottom"/>
          </w:tcPr>
          <w:p>
            <w:pPr>
              <w:spacing w:after="0"/>
              <w:rPr>
                <w:sz w:val="1"/>
                <w:szCs w:val="1"/>
                <w:color w:val="auto"/>
              </w:rPr>
            </w:pPr>
          </w:p>
        </w:tc>
      </w:tr>
      <w:tr>
        <w:trPr>
          <w:trHeight w:val="142"/>
        </w:trPr>
        <w:tc>
          <w:tcPr>
            <w:tcW w:w="3160" w:type="dxa"/>
            <w:vAlign w:val="bottom"/>
            <w:gridSpan w:val="12"/>
          </w:tcPr>
          <w:p>
            <w:pPr>
              <w:spacing w:after="0" w:line="142" w:lineRule="exact"/>
              <w:rPr>
                <w:sz w:val="20"/>
                <w:szCs w:val="20"/>
                <w:color w:val="auto"/>
              </w:rPr>
            </w:pPr>
            <w:r>
              <w:rPr>
                <w:rFonts w:ascii="Times New Roman" w:cs="Times New Roman" w:eastAsia="Times New Roman" w:hAnsi="Times New Roman"/>
                <w:sz w:val="13"/>
                <w:szCs w:val="13"/>
                <w:color w:val="0000EE"/>
              </w:rPr>
              <w:t>EXPERTS</w:t>
            </w:r>
          </w:p>
        </w:tc>
        <w:tc>
          <w:tcPr>
            <w:tcW w:w="4740" w:type="dxa"/>
            <w:vAlign w:val="bottom"/>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S-12</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28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0000EE"/>
            </w:tcBorders>
            <w:gridSpan w:val="10"/>
          </w:tcPr>
          <w:p>
            <w:pPr>
              <w:spacing w:after="0" w:line="142" w:lineRule="exact"/>
              <w:rPr>
                <w:sz w:val="20"/>
                <w:szCs w:val="20"/>
                <w:color w:val="auto"/>
              </w:rPr>
            </w:pPr>
            <w:r>
              <w:rPr>
                <w:rFonts w:ascii="Times New Roman" w:cs="Times New Roman" w:eastAsia="Times New Roman" w:hAnsi="Times New Roman"/>
                <w:sz w:val="13"/>
                <w:szCs w:val="13"/>
                <w:color w:val="0000EE"/>
              </w:rPr>
              <w:t>WHERE YOU CAN FIND MORE INFORMATION</w:t>
            </w:r>
          </w:p>
        </w:tc>
        <w:tc>
          <w:tcPr>
            <w:tcW w:w="300" w:type="dxa"/>
            <w:vAlign w:val="bottom"/>
            <w:gridSpan w:val="2"/>
          </w:tcPr>
          <w:p>
            <w:pPr>
              <w:spacing w:after="0"/>
              <w:rPr>
                <w:sz w:val="12"/>
                <w:szCs w:val="12"/>
                <w:color w:val="auto"/>
              </w:rPr>
            </w:pPr>
          </w:p>
        </w:tc>
        <w:tc>
          <w:tcPr>
            <w:tcW w:w="4740" w:type="dxa"/>
            <w:vAlign w:val="bottom"/>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S-13</w:t>
            </w:r>
          </w:p>
        </w:tc>
        <w:tc>
          <w:tcPr>
            <w:tcW w:w="0" w:type="dxa"/>
            <w:vAlign w:val="bottom"/>
          </w:tcPr>
          <w:p>
            <w:pPr>
              <w:spacing w:after="0"/>
              <w:rPr>
                <w:sz w:val="1"/>
                <w:szCs w:val="1"/>
                <w:color w:val="auto"/>
              </w:rPr>
            </w:pPr>
          </w:p>
        </w:tc>
      </w:tr>
      <w:tr>
        <w:trPr>
          <w:trHeight w:val="142"/>
        </w:trPr>
        <w:tc>
          <w:tcPr>
            <w:tcW w:w="3160" w:type="dxa"/>
            <w:vAlign w:val="bottom"/>
            <w:tcBorders>
              <w:bottom w:val="single" w:sz="8" w:color="0000EE"/>
            </w:tcBorders>
            <w:gridSpan w:val="12"/>
          </w:tcPr>
          <w:p>
            <w:pPr>
              <w:spacing w:after="0" w:line="142" w:lineRule="exact"/>
              <w:rPr>
                <w:sz w:val="20"/>
                <w:szCs w:val="20"/>
                <w:color w:val="auto"/>
              </w:rPr>
            </w:pPr>
            <w:r>
              <w:rPr>
                <w:rFonts w:ascii="Times New Roman" w:cs="Times New Roman" w:eastAsia="Times New Roman" w:hAnsi="Times New Roman"/>
                <w:sz w:val="13"/>
                <w:szCs w:val="13"/>
                <w:color w:val="0000EE"/>
              </w:rPr>
              <w:t>INFORMATION WE INCORPORATE BY REFERENCE</w:t>
            </w:r>
          </w:p>
        </w:tc>
        <w:tc>
          <w:tcPr>
            <w:tcW w:w="4740" w:type="dxa"/>
            <w:vAlign w:val="bottom"/>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S-14</w:t>
            </w:r>
          </w:p>
        </w:tc>
        <w:tc>
          <w:tcPr>
            <w:tcW w:w="0" w:type="dxa"/>
            <w:vAlign w:val="bottom"/>
          </w:tcPr>
          <w:p>
            <w:pPr>
              <w:spacing w:after="0"/>
              <w:rPr>
                <w:sz w:val="1"/>
                <w:szCs w:val="1"/>
                <w:color w:val="auto"/>
              </w:rPr>
            </w:pPr>
          </w:p>
        </w:tc>
      </w:tr>
    </w:tbl>
    <w:p>
      <w:pPr>
        <w:sectPr>
          <w:pgSz w:w="11900" w:h="16838" w:orient="portrait"/>
          <w:cols w:equalWidth="0" w:num="1">
            <w:col w:w="10159"/>
          </w:cols>
          <w:pgMar w:left="300" w:top="37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1520" w:right="539" w:firstLine="329"/>
        <w:spacing w:after="0" w:line="274" w:lineRule="auto"/>
        <w:rPr>
          <w:sz w:val="20"/>
          <w:szCs w:val="20"/>
          <w:color w:val="auto"/>
        </w:rPr>
      </w:pPr>
      <w:r>
        <w:rPr>
          <w:rFonts w:ascii="Times New Roman" w:cs="Times New Roman" w:eastAsia="Times New Roman" w:hAnsi="Times New Roman"/>
          <w:sz w:val="13"/>
          <w:szCs w:val="13"/>
          <w:b w:val="1"/>
          <w:bCs w:val="1"/>
          <w:color w:val="auto"/>
        </w:rPr>
        <w:t>No dealer, salesperson or other person is authorized to give any information or to represent anything not contained in this prospectus supplement or the accompanying base prospectus. You must not rely on any unauthorized information or representations. This prospectus supplement and the accompanying base prospectus are an offer to sell only the securities offered hereby, but only under circumstances and in jurisdictions where it is lawful to do so.</w:t>
      </w:r>
    </w:p>
    <w:p>
      <w:pPr>
        <w:spacing w:after="0" w:line="129" w:lineRule="exact"/>
        <w:rPr>
          <w:sz w:val="20"/>
          <w:szCs w:val="20"/>
          <w:color w:val="auto"/>
        </w:rPr>
      </w:pPr>
    </w:p>
    <w:p>
      <w:pPr>
        <w:jc w:val="both"/>
        <w:ind w:left="1520" w:right="519" w:firstLine="329"/>
        <w:spacing w:after="0" w:line="298" w:lineRule="auto"/>
        <w:rPr>
          <w:sz w:val="20"/>
          <w:szCs w:val="20"/>
          <w:color w:val="auto"/>
        </w:rPr>
      </w:pPr>
      <w:r>
        <w:rPr>
          <w:rFonts w:ascii="Times New Roman" w:cs="Times New Roman" w:eastAsia="Times New Roman" w:hAnsi="Times New Roman"/>
          <w:sz w:val="13"/>
          <w:szCs w:val="13"/>
          <w:color w:val="auto"/>
        </w:rPr>
        <w:t>The information contained in this prospectus supplement is accurate only as of the date on the front cover page of this prospectus supplement, or other earlier date stated in this prospectus supplement, regardless of the time of delivery of this prospectus supplement or of any sale of our securities.</w:t>
      </w:r>
    </w:p>
    <w:p>
      <w:pPr>
        <w:spacing w:after="0" w:line="113" w:lineRule="exact"/>
        <w:rPr>
          <w:sz w:val="20"/>
          <w:szCs w:val="20"/>
          <w:color w:val="auto"/>
        </w:rPr>
      </w:pPr>
    </w:p>
    <w:p>
      <w:pPr>
        <w:ind w:left="1520" w:right="459" w:firstLine="329"/>
        <w:spacing w:after="0" w:line="272" w:lineRule="auto"/>
        <w:rPr>
          <w:sz w:val="20"/>
          <w:szCs w:val="20"/>
          <w:color w:val="auto"/>
        </w:rPr>
      </w:pPr>
      <w:r>
        <w:rPr>
          <w:rFonts w:ascii="Times New Roman" w:cs="Times New Roman" w:eastAsia="Times New Roman" w:hAnsi="Times New Roman"/>
          <w:sz w:val="13"/>
          <w:szCs w:val="13"/>
          <w:color w:val="auto"/>
        </w:rPr>
        <w:t>No action is being taken in any jurisdiction outside the United States to permit a public offering of our securities or possession or distribution of this prospectus supplement and the accompanying base prospectus in that jurisdiction. Persons who come into possession of this prospectus supplement in jurisdictions outside the United States are required to inform themselves about and to observe any restrictions as to this offering and the distribution of this prospectus supplement applicable to that jurisdiction.</w:t>
      </w:r>
    </w:p>
    <w:p>
      <w:pPr>
        <w:spacing w:after="0" w:line="28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78" w:lineRule="exact"/>
        <w:rPr>
          <w:sz w:val="20"/>
          <w:szCs w:val="20"/>
          <w:color w:val="auto"/>
        </w:rPr>
      </w:pPr>
    </w:p>
    <w:p>
      <w:pPr>
        <w:ind w:left="1520" w:right="479"/>
        <w:spacing w:after="0" w:line="267" w:lineRule="auto"/>
        <w:rPr>
          <w:sz w:val="20"/>
          <w:szCs w:val="20"/>
          <w:color w:val="auto"/>
        </w:rPr>
      </w:pPr>
      <w:r>
        <w:rPr>
          <w:rFonts w:ascii="Times New Roman" w:cs="Times New Roman" w:eastAsia="Times New Roman" w:hAnsi="Times New Roman"/>
          <w:sz w:val="13"/>
          <w:szCs w:val="13"/>
          <w:color w:val="auto"/>
        </w:rPr>
        <w:t>This document consists of two parts. The first part is the prospectus supplement, including the documents incorporated by reference herein, which describes the specific terms of this offering. The second part, the accompanying prospectus, including the documents incorporated by reference therein, provides more general information. In general, when we refer only to the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the heading “Where You Can Find More Information.” These documents contain information you should carefully consider when deciding whether to invest in our securities.</w:t>
      </w:r>
    </w:p>
    <w:p>
      <w:pPr>
        <w:spacing w:after="0" w:line="133" w:lineRule="exact"/>
        <w:rPr>
          <w:sz w:val="20"/>
          <w:szCs w:val="20"/>
          <w:color w:val="auto"/>
        </w:rPr>
      </w:pPr>
    </w:p>
    <w:p>
      <w:pPr>
        <w:ind w:left="1520" w:right="459"/>
        <w:spacing w:after="0" w:line="267" w:lineRule="auto"/>
        <w:rPr>
          <w:sz w:val="20"/>
          <w:szCs w:val="20"/>
          <w:color w:val="auto"/>
        </w:rPr>
      </w:pPr>
      <w:r>
        <w:rPr>
          <w:rFonts w:ascii="Times New Roman" w:cs="Times New Roman" w:eastAsia="Times New Roman" w:hAnsi="Times New Roman"/>
          <w:sz w:val="13"/>
          <w:szCs w:val="13"/>
          <w:color w:val="auto"/>
        </w:rPr>
        <w:t>This prospectus supplement may add, update or change information contained in the accompanying prospectus. To the extent there is a conflict between the information contained in this prospectus supplement and the accompanying prospectus, you should rely on information contained in this prospectus supplement, provided that if any statement in, or incorporated by reference into, one of these documents is inconsistent with a statement in another document having a later date, the statement in the document having the later date modifies or supersedes the earlier statement. Any statement so modified will be deemed to constitute a part of this prospectus supplement only as so modified, and any statement so superseded will be deemed not to constitute a part of this prospectus supplement.</w:t>
      </w:r>
    </w:p>
    <w:p>
      <w:pPr>
        <w:spacing w:after="0" w:line="133" w:lineRule="exact"/>
        <w:rPr>
          <w:sz w:val="20"/>
          <w:szCs w:val="20"/>
          <w:color w:val="auto"/>
        </w:rPr>
      </w:pPr>
    </w:p>
    <w:p>
      <w:pPr>
        <w:ind w:left="1520" w:right="419"/>
        <w:spacing w:after="0" w:line="267" w:lineRule="auto"/>
        <w:rPr>
          <w:sz w:val="20"/>
          <w:szCs w:val="20"/>
          <w:color w:val="auto"/>
        </w:rPr>
      </w:pPr>
      <w:r>
        <w:rPr>
          <w:rFonts w:ascii="Times New Roman" w:cs="Times New Roman" w:eastAsia="Times New Roman" w:hAnsi="Times New Roman"/>
          <w:sz w:val="13"/>
          <w:szCs w:val="13"/>
          <w:color w:val="auto"/>
        </w:rPr>
        <w:t>You should rely only on the information contained in this prospectus supplement, the accompanying prospectus, any document incorporated by reference herein or therein, or any free writing prospectuses we may provide to you in connection with this offering. Neither we nor the Sales Agent have authorized anyone to provide you with any different information. We take no responsibility for and can provide no assurance as to the reliability of, any other information that others may provide to you. The information contained in this prospectus supplement, the accompanying prospectus, and in the documents incorporated by reference herein or therein is accurate only as of the date such information is presented. Our business, financial condition, results of operations and prospects may have changed since that date.</w:t>
      </w:r>
    </w:p>
    <w:p>
      <w:pPr>
        <w:spacing w:after="0" w:line="133" w:lineRule="exact"/>
        <w:rPr>
          <w:sz w:val="20"/>
          <w:szCs w:val="20"/>
          <w:color w:val="auto"/>
        </w:rPr>
      </w:pPr>
    </w:p>
    <w:p>
      <w:pPr>
        <w:ind w:left="1520" w:right="419"/>
        <w:spacing w:after="0" w:line="276"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do not constitute an offer to sell or the solicitation of an offer to buy any securities other than the shares of our common stock to which it relates, nor does this prospectus supplement and the accompanying prospectus constitute an offer to sell or the solicitation of an offer to buy securities in any jurisdiction to any person to whom it is unlawful to make such offer or solicitation in such jurisdiction.</w:t>
      </w: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S-1</w:t>
      </w:r>
    </w:p>
    <w:p>
      <w:pPr>
        <w:sectPr>
          <w:pgSz w:w="11900" w:h="16838" w:orient="portrait"/>
          <w:cols w:equalWidth="0" w:num="1">
            <w:col w:w="10159"/>
          </w:cols>
          <w:pgMar w:left="300" w:top="375"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20" w:right="439"/>
        <w:spacing w:after="0" w:line="269" w:lineRule="auto"/>
        <w:rPr>
          <w:sz w:val="20"/>
          <w:szCs w:val="20"/>
          <w:color w:val="auto"/>
        </w:rPr>
      </w:pPr>
      <w:r>
        <w:rPr>
          <w:rFonts w:ascii="Times New Roman" w:cs="Times New Roman" w:eastAsia="Times New Roman" w:hAnsi="Times New Roman"/>
          <w:sz w:val="13"/>
          <w:szCs w:val="13"/>
          <w:color w:val="auto"/>
        </w:rPr>
        <w:t>We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31" w:lineRule="exact"/>
        <w:rPr>
          <w:sz w:val="20"/>
          <w:szCs w:val="20"/>
          <w:color w:val="auto"/>
        </w:rPr>
      </w:pPr>
    </w:p>
    <w:p>
      <w:pPr>
        <w:ind w:left="1520" w:right="619"/>
        <w:spacing w:after="0" w:line="298" w:lineRule="auto"/>
        <w:rPr>
          <w:sz w:val="20"/>
          <w:szCs w:val="20"/>
          <w:color w:val="auto"/>
        </w:rPr>
      </w:pPr>
      <w:r>
        <w:rPr>
          <w:rFonts w:ascii="Times New Roman" w:cs="Times New Roman" w:eastAsia="Times New Roman" w:hAnsi="Times New Roman"/>
          <w:sz w:val="13"/>
          <w:szCs w:val="13"/>
          <w:color w:val="auto"/>
        </w:rPr>
        <w:t>References in this prospectus to the terms “the Company,” “Plus Therapeutics,” “we,” “our” and “us” or other similar terms mean Plus Therapeutics, Inc. and our wholly owned subsidiary, unless we state otherwise or the context indicates otherwise.</w:t>
      </w:r>
    </w:p>
    <w:p>
      <w:pPr>
        <w:spacing w:after="0" w:line="113" w:lineRule="exact"/>
        <w:rPr>
          <w:sz w:val="20"/>
          <w:szCs w:val="20"/>
          <w:color w:val="auto"/>
        </w:rPr>
      </w:pPr>
    </w:p>
    <w:p>
      <w:pPr>
        <w:ind w:left="1520" w:right="439"/>
        <w:spacing w:after="0" w:line="278" w:lineRule="auto"/>
        <w:rPr>
          <w:sz w:val="20"/>
          <w:szCs w:val="20"/>
          <w:color w:val="auto"/>
        </w:rPr>
      </w:pPr>
      <w:r>
        <w:rPr>
          <w:rFonts w:ascii="Times New Roman" w:cs="Times New Roman" w:eastAsia="Times New Roman" w:hAnsi="Times New Roman"/>
          <w:sz w:val="13"/>
          <w:szCs w:val="13"/>
          <w:color w:val="auto"/>
        </w:rPr>
        <w:t>Unless otherwise indicated, all share amounts and share prices disclosed herein are presented on a post-split basis, giving effect to the reverse stock split of all of the outstanding shares of the Company’s issued and outstanding Common Stock on April 2, 2026. Any financial statements incorporated by reference into this prospectus that were filed prior to the reverse stock split present the outstanding shares on a pre-split basis.</w:t>
      </w:r>
    </w:p>
    <w:p>
      <w:pPr>
        <w:spacing w:after="0" w:line="7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S-2</w:t>
      </w:r>
    </w:p>
    <w:p>
      <w:pPr>
        <w:sectPr>
          <w:pgSz w:w="11900" w:h="16838" w:orient="portrait"/>
          <w:cols w:equalWidth="0" w:num="1">
            <w:col w:w="10159"/>
          </w:cols>
          <w:pgMar w:left="300" w:top="37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78" w:lineRule="exact"/>
        <w:rPr>
          <w:sz w:val="20"/>
          <w:szCs w:val="20"/>
          <w:color w:val="auto"/>
        </w:rPr>
      </w:pPr>
    </w:p>
    <w:p>
      <w:pPr>
        <w:ind w:left="1520" w:right="539"/>
        <w:spacing w:after="0" w:line="265" w:lineRule="auto"/>
        <w:rPr>
          <w:sz w:val="20"/>
          <w:szCs w:val="20"/>
          <w:color w:val="auto"/>
        </w:rPr>
      </w:pPr>
      <w:r>
        <w:rPr>
          <w:rFonts w:ascii="Times New Roman" w:cs="Times New Roman" w:eastAsia="Times New Roman" w:hAnsi="Times New Roman"/>
          <w:sz w:val="13"/>
          <w:szCs w:val="13"/>
          <w:color w:val="auto"/>
        </w:rPr>
        <w:t>This prospectus and the documents incorporated by reference herein may contain forward-looking statements that involve substantial risks and uncertainties. All statements, other than statements of historical facts, included in this prospectus, any prospectus supplement or the documents incorporated herein and therein by reference, including statements regarding our future financial condition, results of operations, business strategy and plans and objectives of management for future operations, industry trends and other future events, are forward-looking statements. In some cases, you can identify forward-looking statements by terminology such as “believe,” “will,” “may,” “estimate,” “continue,” “anticipate,” “intend,” “should,” “plan,” “expect,” “predict,” “project,” “could,” “potentially,” “continue,” “ongoing,” “scheduled” or the negative of these terms or other similar expressions, although not all forward-looking statements contain these identifying terms.</w:t>
      </w:r>
    </w:p>
    <w:p>
      <w:pPr>
        <w:spacing w:after="0" w:line="137" w:lineRule="exact"/>
        <w:rPr>
          <w:sz w:val="20"/>
          <w:szCs w:val="20"/>
          <w:color w:val="auto"/>
        </w:rPr>
      </w:pPr>
    </w:p>
    <w:p>
      <w:pPr>
        <w:ind w:left="1520" w:right="439"/>
        <w:spacing w:after="0" w:line="262" w:lineRule="auto"/>
        <w:rPr>
          <w:sz w:val="20"/>
          <w:szCs w:val="20"/>
          <w:color w:val="auto"/>
        </w:rPr>
      </w:pPr>
      <w:r>
        <w:rPr>
          <w:rFonts w:ascii="Times New Roman" w:cs="Times New Roman" w:eastAsia="Times New Roman" w:hAnsi="Times New Roman"/>
          <w:sz w:val="13"/>
          <w:szCs w:val="13"/>
          <w:color w:val="auto"/>
        </w:rPr>
        <w:t>These statements include, without limitation, statements regarding: our anticipated expenditures, including research and development, and general and administrative expenses; our strategic collaborations and license agreements, intellectual property, FDA and EMA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future development and/or expansion of our product candidates and therapies in our markets; sources of competition for any of our product candidates; our ability to generate product or development revenues and the sources of such revenue; our ability to effectively manage our gross profit margins; our ability to obtain and maintain regulatory approvals; expectations as to our future performance; portions of the “Liquidity and Capital Resources” section of our annual and quarterly reports filed with the SEC; our need for additional financing and the availability thereof; our ability to continue as a going concern; our ability to remain listed on the Nasdaq Capital Market; our ability to repay or refinance some or all of our outstanding indebtedness and our ability to raise capital in the future; our ability to transfer the drug product manufacture to a contract drug manufacturing organization; and the potential enhancement of our cash position through development, marketing, and licensing arrangements.</w:t>
      </w:r>
    </w:p>
    <w:p>
      <w:pPr>
        <w:spacing w:after="0" w:line="138" w:lineRule="exact"/>
        <w:rPr>
          <w:sz w:val="20"/>
          <w:szCs w:val="20"/>
          <w:color w:val="auto"/>
        </w:rPr>
      </w:pPr>
    </w:p>
    <w:p>
      <w:pPr>
        <w:ind w:left="1520" w:right="479"/>
        <w:spacing w:after="0" w:line="264" w:lineRule="auto"/>
        <w:rPr>
          <w:sz w:val="20"/>
          <w:szCs w:val="20"/>
          <w:color w:val="auto"/>
        </w:rPr>
      </w:pPr>
      <w:r>
        <w:rPr>
          <w:rFonts w:ascii="Times New Roman" w:cs="Times New Roman" w:eastAsia="Times New Roman" w:hAnsi="Times New Roman"/>
          <w:sz w:val="13"/>
          <w:szCs w:val="13"/>
          <w:color w:val="auto"/>
        </w:rPr>
        <w:t>We have based these forward-looking statements largely on our current expectations and projections about future events and financial trends that we believe may affect our business, financial condition and results of operations. We cannot guarantee that the results and other expectations expressed, anticipated or implied in any forward-looking statement will be realized. The risks set forth under Item 1A of our Annual Report on Form 10-K for the fiscal year ended December 31, 2025, as revised or supplemented by our Quarterly Reports on Form 10-Q and other documents we file with the SEC, describe material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135" w:lineRule="exact"/>
        <w:rPr>
          <w:sz w:val="20"/>
          <w:szCs w:val="20"/>
          <w:color w:val="auto"/>
        </w:rPr>
      </w:pPr>
    </w:p>
    <w:p>
      <w:pPr>
        <w:ind w:left="1520" w:right="419"/>
        <w:spacing w:after="0" w:line="272" w:lineRule="auto"/>
        <w:rPr>
          <w:sz w:val="20"/>
          <w:szCs w:val="20"/>
          <w:color w:val="auto"/>
        </w:rPr>
      </w:pPr>
      <w:r>
        <w:rPr>
          <w:rFonts w:ascii="Times New Roman" w:cs="Times New Roman" w:eastAsia="Times New Roman" w:hAnsi="Times New Roman"/>
          <w:sz w:val="13"/>
          <w:szCs w:val="13"/>
          <w:color w:val="auto"/>
        </w:rPr>
        <w:t>You should read this prospectus, any prospectus supplement and the documents that we incorporate by reference herein and therein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7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S-3</w:t>
      </w:r>
    </w:p>
    <w:p>
      <w:pPr>
        <w:sectPr>
          <w:pgSz w:w="11900" w:h="16838" w:orient="portrait"/>
          <w:cols w:equalWidth="0" w:num="1">
            <w:col w:w="10159"/>
          </w:cols>
          <w:pgMar w:left="300" w:top="37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162560</wp:posOffset>
            </wp:positionV>
            <wp:extent cx="5237480" cy="45897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5237480" cy="4589780"/>
                    </a:xfrm>
                    <a:prstGeom prst="rect">
                      <a:avLst/>
                    </a:prstGeom>
                    <a:noFill/>
                  </pic:spPr>
                </pic:pic>
              </a:graphicData>
            </a:graphic>
          </wp:anchor>
        </w:drawing>
      </w:r>
    </w:p>
    <w:p>
      <w:pPr>
        <w:spacing w:after="0" w:line="3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PROSPECTUS SUMMARY</w:t>
      </w:r>
    </w:p>
    <w:p>
      <w:pPr>
        <w:spacing w:after="0" w:line="176" w:lineRule="exact"/>
        <w:rPr>
          <w:sz w:val="20"/>
          <w:szCs w:val="20"/>
          <w:color w:val="auto"/>
        </w:rPr>
      </w:pPr>
    </w:p>
    <w:p>
      <w:pPr>
        <w:ind w:left="1660" w:right="579"/>
        <w:spacing w:after="0" w:line="267" w:lineRule="auto"/>
        <w:rPr>
          <w:sz w:val="20"/>
          <w:szCs w:val="20"/>
          <w:color w:val="auto"/>
        </w:rPr>
      </w:pPr>
      <w:r>
        <w:rPr>
          <w:rFonts w:ascii="Times New Roman" w:cs="Times New Roman" w:eastAsia="Times New Roman" w:hAnsi="Times New Roman"/>
          <w:sz w:val="13"/>
          <w:szCs w:val="13"/>
          <w:i w:val="1"/>
          <w:iCs w:val="1"/>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1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97" w:lineRule="exact"/>
        <w:rPr>
          <w:sz w:val="20"/>
          <w:szCs w:val="20"/>
          <w:color w:val="auto"/>
        </w:rPr>
      </w:pPr>
    </w:p>
    <w:p>
      <w:pPr>
        <w:ind w:left="1660" w:right="579" w:firstLine="318"/>
        <w:spacing w:after="0"/>
        <w:rPr>
          <w:sz w:val="20"/>
          <w:szCs w:val="20"/>
          <w:color w:val="auto"/>
        </w:rPr>
      </w:pPr>
      <w:r>
        <w:rPr>
          <w:rFonts w:ascii="Times New Roman" w:cs="Times New Roman" w:eastAsia="Times New Roman" w:hAnsi="Times New Roman"/>
          <w:sz w:val="13"/>
          <w:szCs w:val="13"/>
          <w:color w:val="auto"/>
        </w:rPr>
        <w:t>Plus Therapeutics is a U.S. healthcare company developing and commercializing precision diagnostics and targeted radiopharmaceuticals for central nervous system (“CNS”) cancers. CNSide Diagnostics, LLC (“CNSide Diagnostics”) is our wholly owned subsidiary that develops and commercializes proprietary laboratory-developed tests, such as CNSide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designed to identify tumor cells that have metastasized to the central nervous system in patients with carcinomas and melanomas. In radiopharmaceuticals, our lead candidate, rhenium (</w:t>
      </w:r>
      <w:r>
        <w:rPr>
          <w:rFonts w:ascii="Times New Roman" w:cs="Times New Roman" w:eastAsia="Times New Roman" w:hAnsi="Times New Roman"/>
          <w:sz w:val="20"/>
          <w:szCs w:val="20"/>
          <w:color w:val="auto"/>
          <w:vertAlign w:val="superscript"/>
        </w:rPr>
        <w:t>186</w:t>
      </w:r>
      <w:r>
        <w:rPr>
          <w:rFonts w:ascii="Times New Roman" w:cs="Times New Roman" w:eastAsia="Times New Roman" w:hAnsi="Times New Roman"/>
          <w:sz w:val="13"/>
          <w:szCs w:val="13"/>
          <w:color w:val="auto"/>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cs="Times New Roman" w:eastAsia="Times New Roman" w:hAnsi="Times New Roman"/>
          <w:sz w:val="20"/>
          <w:szCs w:val="20"/>
          <w:color w:val="auto"/>
          <w:vertAlign w:val="superscript"/>
        </w:rPr>
        <w:t>188</w:t>
      </w:r>
      <w:r>
        <w:rPr>
          <w:rFonts w:ascii="Times New Roman" w:cs="Times New Roman" w:eastAsia="Times New Roman" w:hAnsi="Times New Roman"/>
          <w:sz w:val="13"/>
          <w:szCs w:val="13"/>
          <w:color w:val="auto"/>
        </w:rPr>
        <w:t>RNL-BAM”) is designed to treat many solid organ cancers including primary and secondary liver cancers by intra-arterial injection.</w:t>
      </w:r>
    </w:p>
    <w:p>
      <w:pPr>
        <w:spacing w:after="0" w:line="178" w:lineRule="exact"/>
        <w:rPr>
          <w:sz w:val="20"/>
          <w:szCs w:val="20"/>
          <w:color w:val="auto"/>
        </w:rPr>
      </w:pPr>
    </w:p>
    <w:p>
      <w:pPr>
        <w:ind w:left="1660" w:right="619" w:firstLine="318"/>
        <w:spacing w:after="0" w:line="278" w:lineRule="auto"/>
        <w:rPr>
          <w:sz w:val="20"/>
          <w:szCs w:val="20"/>
          <w:color w:val="auto"/>
        </w:rPr>
      </w:pPr>
      <w:r>
        <w:rPr>
          <w:rFonts w:ascii="Times New Roman" w:cs="Times New Roman" w:eastAsia="Times New Roman" w:hAnsi="Times New Roman"/>
          <w:sz w:val="13"/>
          <w:szCs w:val="13"/>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127" w:lineRule="exact"/>
        <w:rPr>
          <w:sz w:val="20"/>
          <w:szCs w:val="20"/>
          <w:color w:val="auto"/>
        </w:rPr>
      </w:pPr>
    </w:p>
    <w:p>
      <w:pPr>
        <w:ind w:left="1660" w:right="539" w:firstLine="318"/>
        <w:spacing w:after="0" w:line="267" w:lineRule="auto"/>
        <w:rPr>
          <w:sz w:val="20"/>
          <w:szCs w:val="20"/>
          <w:color w:val="auto"/>
        </w:rPr>
      </w:pPr>
      <w:r>
        <w:rPr>
          <w:rFonts w:ascii="Times New Roman" w:cs="Times New Roman" w:eastAsia="Times New Roman" w:hAnsi="Times New Roman"/>
          <w:sz w:val="13"/>
          <w:szCs w:val="13"/>
          <w:color w:val="auto"/>
        </w:rPr>
        <w:t>Our novel radioactive drug formulations, medical devices and therapeutic candidates have the potential to overcome these disadvantages as they are designed to deliver safe and effective doses of radiation at the tumors-potentially in a single treatment. To achieve this, we have developed innovative approaches to drug formulation, including encapsulating radionuclides such as rhenium isotopes with nanoliposomes and microspheres. Our formulations are intended to achieve elevated patient-absorbed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133" w:lineRule="exact"/>
        <w:rPr>
          <w:sz w:val="20"/>
          <w:szCs w:val="20"/>
          <w:color w:val="auto"/>
        </w:rPr>
      </w:pPr>
    </w:p>
    <w:p>
      <w:pPr>
        <w:ind w:left="1660" w:right="559" w:firstLine="318"/>
        <w:spacing w:after="0" w:line="272" w:lineRule="auto"/>
        <w:rPr>
          <w:sz w:val="20"/>
          <w:szCs w:val="20"/>
          <w:color w:val="auto"/>
        </w:rPr>
      </w:pPr>
      <w:r>
        <w:rPr>
          <w:rFonts w:ascii="Times New Roman" w:cs="Times New Roman" w:eastAsia="Times New Roman" w:hAnsi="Times New Roman"/>
          <w:sz w:val="13"/>
          <w:szCs w:val="13"/>
          <w:color w:val="auto"/>
        </w:rPr>
        <w:t>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neurosurgery, nuclear medicine, interventional radiology, neuro-oncology, and radiation oncology, affords us the opportunity to target a broad variety of cancer types.</w:t>
      </w:r>
    </w:p>
    <w:p>
      <w:pPr>
        <w:spacing w:after="0" w:line="130" w:lineRule="exact"/>
        <w:rPr>
          <w:sz w:val="20"/>
          <w:szCs w:val="20"/>
          <w:color w:val="auto"/>
        </w:rPr>
      </w:pPr>
    </w:p>
    <w:p>
      <w:pPr>
        <w:ind w:left="1660" w:right="619" w:firstLine="318"/>
        <w:spacing w:after="0" w:line="267" w:lineRule="auto"/>
        <w:rPr>
          <w:sz w:val="20"/>
          <w:szCs w:val="20"/>
          <w:color w:val="auto"/>
        </w:rPr>
      </w:pPr>
      <w:r>
        <w:rPr>
          <w:rFonts w:ascii="Times New Roman" w:cs="Times New Roman" w:eastAsia="Times New Roman" w:hAnsi="Times New Roman"/>
          <w:sz w:val="13"/>
          <w:szCs w:val="13"/>
          <w:color w:val="auto"/>
        </w:rPr>
        <w:t>The CNSide Cerebrospinal Fluid Assay is currently being utilized in the ReSPECT-LM clinical trial funded by the Cancer Prevention and Research Institute of Texas (“CPRIT”). In connection with our business plan for developing the CNSide Platform, we formed CNSide Diagnostics and our board of directors appointed a board of managers for CNSide Diagnostics. We re-introduced the CNSide Cerebrospinal Fluid Tumor Cell Enumeration test (the “CNSide Test”), which is a laboratory developed test (“LDT”) in August 2025. The laboratory for the CNSide Test in Houston, Texas has received a certificate of accreditation from the Centers for Medicare &amp; Medicaid Services (“CMS”) which deems the lab compliant with Clinical Laboratory Improvement Amendments</w:t>
      </w:r>
    </w:p>
    <w:p>
      <w:pPr>
        <w:spacing w:after="0" w:line="22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S-4</w:t>
      </w:r>
    </w:p>
    <w:p>
      <w:pPr>
        <w:sectPr>
          <w:pgSz w:w="11900" w:h="16838" w:orient="portrait"/>
          <w:cols w:equalWidth="0" w:num="1">
            <w:col w:w="10159"/>
          </w:cols>
          <w:pgMar w:left="300" w:top="37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162560</wp:posOffset>
            </wp:positionV>
            <wp:extent cx="5237480" cy="46926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5237480" cy="4692650"/>
                    </a:xfrm>
                    <a:prstGeom prst="rect">
                      <a:avLst/>
                    </a:prstGeom>
                    <a:noFill/>
                  </pic:spPr>
                </pic:pic>
              </a:graphicData>
            </a:graphic>
          </wp:anchor>
        </w:drawing>
      </w:r>
    </w:p>
    <w:p>
      <w:pPr>
        <w:spacing w:after="0" w:line="359" w:lineRule="exact"/>
        <w:rPr>
          <w:sz w:val="20"/>
          <w:szCs w:val="20"/>
          <w:color w:val="auto"/>
        </w:rPr>
      </w:pPr>
    </w:p>
    <w:p>
      <w:pPr>
        <w:ind w:left="1660" w:right="739"/>
        <w:spacing w:after="0" w:line="298" w:lineRule="auto"/>
        <w:rPr>
          <w:sz w:val="20"/>
          <w:szCs w:val="20"/>
          <w:color w:val="auto"/>
        </w:rPr>
      </w:pPr>
      <w:r>
        <w:rPr>
          <w:rFonts w:ascii="Times New Roman" w:cs="Times New Roman" w:eastAsia="Times New Roman" w:hAnsi="Times New Roman"/>
          <w:sz w:val="13"/>
          <w:szCs w:val="13"/>
          <w:color w:val="auto"/>
        </w:rPr>
        <w:t>(“CLIA”) regulations. Furthermore, CNSide Diagnostics has signed national agreements to provide the CNSide Test with four payers, including United Healthcare, Humana, Highmark, and Blue Shield of California, expanding patient access nationwide to approximately 81 million.</w:t>
      </w:r>
    </w:p>
    <w:p>
      <w:pPr>
        <w:spacing w:after="0" w:line="19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Corporate Information</w:t>
      </w:r>
    </w:p>
    <w:p>
      <w:pPr>
        <w:spacing w:after="0" w:line="97" w:lineRule="exact"/>
        <w:rPr>
          <w:sz w:val="20"/>
          <w:szCs w:val="20"/>
          <w:color w:val="auto"/>
        </w:rPr>
      </w:pPr>
    </w:p>
    <w:p>
      <w:pPr>
        <w:ind w:left="1660" w:right="599" w:firstLine="318"/>
        <w:spacing w:after="0" w:line="265" w:lineRule="auto"/>
        <w:rPr>
          <w:sz w:val="20"/>
          <w:szCs w:val="20"/>
          <w:color w:val="auto"/>
        </w:rPr>
      </w:pPr>
      <w:r>
        <w:rPr>
          <w:rFonts w:ascii="Times New Roman" w:cs="Times New Roman" w:eastAsia="Times New Roman" w:hAnsi="Times New Roman"/>
          <w:sz w:val="13"/>
          <w:szCs w:val="13"/>
          <w:color w:val="auto"/>
        </w:rPr>
        <w:t>In March 2025, we moved our headquarters to Houston, Texas, in proximity to world-class cancer institutions and researchers. Our principal executive offices are located at 6420 Levit Green Boulevard, Suite 310, Houston, Texas 77021, and our telephone number is (737) 255-7194. We maintain a website at www.plustherapeutics.com. We make available free of charge through our website our Annual Reports on Form 10-K, Quarterly Reports on Form 10-Q and Current Reports on Form 8-K, and amendments to these reports filed or furnished pursuant to Section 13(a) or 15(d) of the Securities Exchange Act of 1934, as amended (the “Exchange Act”), as soon as reasonably practicable after we electronically file such material with, or furnish such material to, the SEC. These reports and other information are also available, free of charge, at www.sec.gov. Information contained on, or that can be accessed through, the websites referenced in this prospectus are not a part of, or incorporated by reference into, this prospectus.</w:t>
      </w:r>
    </w:p>
    <w:p>
      <w:pPr>
        <w:spacing w:after="0" w:line="200" w:lineRule="exact"/>
        <w:rPr>
          <w:sz w:val="20"/>
          <w:szCs w:val="20"/>
          <w:color w:val="auto"/>
        </w:rPr>
      </w:pPr>
    </w:p>
    <w:p>
      <w:pPr>
        <w:spacing w:after="0" w:line="256" w:lineRule="exact"/>
        <w:rPr>
          <w:sz w:val="20"/>
          <w:szCs w:val="20"/>
          <w:color w:val="auto"/>
        </w:rPr>
      </w:pPr>
    </w:p>
    <w:tbl>
      <w:tblPr>
        <w:tblLayout w:type="fixed"/>
        <w:tblInd w:w="1520" w:type="dxa"/>
        <w:tblCellMar>
          <w:top w:w="0" w:type="dxa"/>
          <w:left w:w="0" w:type="dxa"/>
          <w:bottom w:w="0" w:type="dxa"/>
          <w:right w:w="0" w:type="dxa"/>
        </w:tblCellMar>
      </w:tblPr>
      <w:tr>
        <w:trPr>
          <w:trHeight w:val="178"/>
        </w:trPr>
        <w:tc>
          <w:tcPr>
            <w:tcW w:w="2940" w:type="dxa"/>
            <w:vAlign w:val="bottom"/>
          </w:tcPr>
          <w:p>
            <w:pPr>
              <w:spacing w:after="0"/>
              <w:rPr>
                <w:sz w:val="15"/>
                <w:szCs w:val="15"/>
                <w:color w:val="auto"/>
              </w:rPr>
            </w:pPr>
          </w:p>
        </w:tc>
        <w:tc>
          <w:tcPr>
            <w:tcW w:w="530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THE OFFERING</w:t>
            </w:r>
          </w:p>
        </w:tc>
      </w:tr>
      <w:tr>
        <w:trPr>
          <w:trHeight w:val="343"/>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offered by us</w:t>
            </w: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Shares of our common stock having an aggregate offering price of up to $17,350,000.</w:t>
            </w:r>
          </w:p>
        </w:tc>
      </w:tr>
      <w:tr>
        <w:trPr>
          <w:trHeight w:val="341"/>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Manner of Offering</w:t>
            </w: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“At the Market Offering” that may be made from time to time through or to, the Sales</w:t>
            </w:r>
          </w:p>
        </w:tc>
      </w:tr>
      <w:tr>
        <w:trPr>
          <w:trHeight w:val="174"/>
        </w:trPr>
        <w:tc>
          <w:tcPr>
            <w:tcW w:w="2940" w:type="dxa"/>
            <w:vAlign w:val="bottom"/>
          </w:tcPr>
          <w:p>
            <w:pPr>
              <w:spacing w:after="0"/>
              <w:rPr>
                <w:sz w:val="15"/>
                <w:szCs w:val="15"/>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Agent, as sales agent. See “Plan of Distribution” on page S-11.</w:t>
            </w:r>
          </w:p>
        </w:tc>
      </w:tr>
      <w:tr>
        <w:trPr>
          <w:trHeight w:val="331"/>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outstanding immediately before</w:t>
            </w: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6,883,897 shares of common stock.</w:t>
            </w:r>
          </w:p>
        </w:tc>
      </w:tr>
      <w:tr>
        <w:trPr>
          <w:trHeight w:val="174"/>
        </w:trPr>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offering</w:t>
            </w:r>
          </w:p>
        </w:tc>
        <w:tc>
          <w:tcPr>
            <w:tcW w:w="5300" w:type="dxa"/>
            <w:vAlign w:val="bottom"/>
          </w:tcPr>
          <w:p>
            <w:pPr>
              <w:spacing w:after="0"/>
              <w:rPr>
                <w:sz w:val="15"/>
                <w:szCs w:val="15"/>
                <w:color w:val="auto"/>
              </w:rPr>
            </w:pPr>
          </w:p>
        </w:tc>
      </w:tr>
      <w:tr>
        <w:trPr>
          <w:trHeight w:val="311"/>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outstanding immediately after</w:t>
            </w: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9,496,849 shares of common stock assuming 2,612,952 shares of common stock are sold,</w:t>
            </w:r>
          </w:p>
        </w:tc>
      </w:tr>
      <w:tr>
        <w:trPr>
          <w:trHeight w:val="162"/>
        </w:trPr>
        <w:tc>
          <w:tcPr>
            <w:tcW w:w="2940" w:type="dxa"/>
            <w:vAlign w:val="bottom"/>
          </w:tcPr>
          <w:p>
            <w:pPr>
              <w:ind w:left="200"/>
              <w:spacing w:after="0" w:line="162" w:lineRule="exact"/>
              <w:rPr>
                <w:sz w:val="20"/>
                <w:szCs w:val="20"/>
                <w:color w:val="auto"/>
              </w:rPr>
            </w:pPr>
            <w:r>
              <w:rPr>
                <w:rFonts w:ascii="Times New Roman" w:cs="Times New Roman" w:eastAsia="Times New Roman" w:hAnsi="Times New Roman"/>
                <w:sz w:val="12"/>
                <w:szCs w:val="12"/>
                <w:color w:val="auto"/>
              </w:rPr>
              <w:t xml:space="preserve">offering </w:t>
            </w:r>
            <w:r>
              <w:rPr>
                <w:rFonts w:ascii="Times New Roman" w:cs="Times New Roman" w:eastAsia="Times New Roman" w:hAnsi="Times New Roman"/>
                <w:sz w:val="18"/>
                <w:szCs w:val="18"/>
                <w:color w:val="auto"/>
                <w:vertAlign w:val="superscript"/>
              </w:rPr>
              <w:t>(1)</w:t>
            </w: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based on an assumed offering price of $6.64 per share, which was the closing price of our</w:t>
            </w:r>
          </w:p>
        </w:tc>
      </w:tr>
      <w:tr>
        <w:trPr>
          <w:trHeight w:val="162"/>
        </w:trPr>
        <w:tc>
          <w:tcPr>
            <w:tcW w:w="294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common stock on the Nasdaq Capital Market on May 27, 2026. The actual number of</w:t>
            </w:r>
          </w:p>
        </w:tc>
      </w:tr>
      <w:tr>
        <w:trPr>
          <w:trHeight w:val="162"/>
        </w:trPr>
        <w:tc>
          <w:tcPr>
            <w:tcW w:w="294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shares of our common stock issued will vary depending on the sales price under this</w:t>
            </w:r>
          </w:p>
        </w:tc>
      </w:tr>
      <w:tr>
        <w:trPr>
          <w:trHeight w:val="174"/>
        </w:trPr>
        <w:tc>
          <w:tcPr>
            <w:tcW w:w="2940" w:type="dxa"/>
            <w:vAlign w:val="bottom"/>
          </w:tcPr>
          <w:p>
            <w:pPr>
              <w:spacing w:after="0"/>
              <w:rPr>
                <w:sz w:val="15"/>
                <w:szCs w:val="15"/>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offering.</w:t>
            </w:r>
          </w:p>
        </w:tc>
      </w:tr>
      <w:tr>
        <w:trPr>
          <w:trHeight w:val="331"/>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Use of Proceeds</w:t>
            </w: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We currently intend to use the net proceeds from this offering for working capital and</w:t>
            </w:r>
          </w:p>
        </w:tc>
      </w:tr>
      <w:tr>
        <w:trPr>
          <w:trHeight w:val="162"/>
        </w:trPr>
        <w:tc>
          <w:tcPr>
            <w:tcW w:w="294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general corporate purposes. See “Use of Proceeds” on page S-9 of this prospectus</w:t>
            </w:r>
          </w:p>
        </w:tc>
      </w:tr>
      <w:tr>
        <w:trPr>
          <w:trHeight w:val="174"/>
        </w:trPr>
        <w:tc>
          <w:tcPr>
            <w:tcW w:w="2940" w:type="dxa"/>
            <w:vAlign w:val="bottom"/>
          </w:tcPr>
          <w:p>
            <w:pPr>
              <w:spacing w:after="0"/>
              <w:rPr>
                <w:sz w:val="15"/>
                <w:szCs w:val="15"/>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supplement.</w:t>
            </w:r>
          </w:p>
        </w:tc>
      </w:tr>
      <w:tr>
        <w:trPr>
          <w:trHeight w:val="331"/>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Risk Factors</w:t>
            </w: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Investing in our securities involves a high degree of risk. See “Risk Factors” beginning on</w:t>
            </w:r>
          </w:p>
        </w:tc>
      </w:tr>
      <w:tr>
        <w:trPr>
          <w:trHeight w:val="162"/>
        </w:trPr>
        <w:tc>
          <w:tcPr>
            <w:tcW w:w="294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page S-7 of this prospectus supplement for a discussion of factors you should consider</w:t>
            </w:r>
          </w:p>
        </w:tc>
      </w:tr>
      <w:tr>
        <w:trPr>
          <w:trHeight w:val="174"/>
        </w:trPr>
        <w:tc>
          <w:tcPr>
            <w:tcW w:w="2940" w:type="dxa"/>
            <w:vAlign w:val="bottom"/>
          </w:tcPr>
          <w:p>
            <w:pPr>
              <w:spacing w:after="0"/>
              <w:rPr>
                <w:sz w:val="15"/>
                <w:szCs w:val="15"/>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carefully when making an investment decision.</w:t>
            </w:r>
          </w:p>
        </w:tc>
      </w:tr>
      <w:tr>
        <w:trPr>
          <w:trHeight w:val="343"/>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Exchange Listing</w:t>
            </w: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Our common stock is traded on Nasdaq under the symbol “PSTV.”</w:t>
            </w:r>
          </w:p>
        </w:tc>
      </w:tr>
      <w:tr>
        <w:trPr>
          <w:trHeight w:val="341"/>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Transfer Agent</w:t>
            </w: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The transfer agent and registrar for our common stock is Nevada Agency and Transfer</w:t>
            </w:r>
          </w:p>
        </w:tc>
      </w:tr>
      <w:tr>
        <w:trPr>
          <w:trHeight w:val="174"/>
        </w:trPr>
        <w:tc>
          <w:tcPr>
            <w:tcW w:w="2940" w:type="dxa"/>
            <w:vAlign w:val="bottom"/>
          </w:tcPr>
          <w:p>
            <w:pPr>
              <w:spacing w:after="0"/>
              <w:rPr>
                <w:sz w:val="15"/>
                <w:szCs w:val="15"/>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Company.</w:t>
            </w:r>
          </w:p>
        </w:tc>
      </w:tr>
      <w:tr>
        <w:trPr>
          <w:trHeight w:val="127"/>
        </w:trPr>
        <w:tc>
          <w:tcPr>
            <w:tcW w:w="2940" w:type="dxa"/>
            <w:vAlign w:val="bottom"/>
            <w:tcBorders>
              <w:bottom w:val="single" w:sz="8" w:color="auto"/>
            </w:tcBorders>
          </w:tcPr>
          <w:p>
            <w:pPr>
              <w:spacing w:after="0"/>
              <w:rPr>
                <w:sz w:val="11"/>
                <w:szCs w:val="11"/>
                <w:color w:val="auto"/>
              </w:rPr>
            </w:pPr>
          </w:p>
        </w:tc>
        <w:tc>
          <w:tcPr>
            <w:tcW w:w="5300" w:type="dxa"/>
            <w:vAlign w:val="bottom"/>
            <w:tcBorders>
              <w:bottom w:val="single" w:sz="8" w:color="auto"/>
            </w:tcBorders>
          </w:tcPr>
          <w:p>
            <w:pPr>
              <w:spacing w:after="0"/>
              <w:rPr>
                <w:sz w:val="11"/>
                <w:szCs w:val="11"/>
                <w:color w:val="auto"/>
              </w:rPr>
            </w:pPr>
          </w:p>
        </w:tc>
      </w:tr>
      <w:tr>
        <w:trPr>
          <w:trHeight w:val="267"/>
        </w:trPr>
        <w:tc>
          <w:tcPr>
            <w:tcW w:w="2940" w:type="dxa"/>
            <w:vAlign w:val="bottom"/>
          </w:tcPr>
          <w:p>
            <w:pPr>
              <w:spacing w:after="0"/>
              <w:rPr>
                <w:sz w:val="23"/>
                <w:szCs w:val="23"/>
                <w:color w:val="auto"/>
              </w:rPr>
            </w:pPr>
          </w:p>
        </w:tc>
        <w:tc>
          <w:tcPr>
            <w:tcW w:w="530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S-5</w:t>
            </w:r>
          </w:p>
        </w:tc>
      </w:tr>
    </w:tbl>
    <w:p>
      <w:pPr>
        <w:sectPr>
          <w:pgSz w:w="11900" w:h="16838" w:orient="portrait"/>
          <w:cols w:equalWidth="0" w:num="1">
            <w:col w:w="10159"/>
          </w:cols>
          <w:pgMar w:left="300" w:top="37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162560</wp:posOffset>
            </wp:positionV>
            <wp:extent cx="5237480" cy="2063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5237480" cy="2063750"/>
                    </a:xfrm>
                    <a:prstGeom prst="rect">
                      <a:avLst/>
                    </a:prstGeom>
                    <a:noFill/>
                  </pic:spPr>
                </pic:pic>
              </a:graphicData>
            </a:graphic>
          </wp:anchor>
        </w:drawing>
      </w:r>
    </w:p>
    <w:p>
      <w:pPr>
        <w:spacing w:after="0" w:line="359" w:lineRule="exact"/>
        <w:rPr>
          <w:sz w:val="20"/>
          <w:szCs w:val="20"/>
          <w:color w:val="auto"/>
        </w:rPr>
      </w:pPr>
    </w:p>
    <w:p>
      <w:pPr>
        <w:ind w:left="1660" w:right="719" w:firstLine="2"/>
        <w:spacing w:after="0" w:line="218" w:lineRule="auto"/>
        <w:tabs>
          <w:tab w:leader="none" w:pos="1811"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Unless otherwise noted, the number of shares of common stock to be outstanding immediately after this offering is based on 6,883,897 shares outstanding as of May 27, 2026, and excludes, as of such date:</w:t>
      </w:r>
    </w:p>
    <w:p>
      <w:pPr>
        <w:spacing w:after="0" w:line="79" w:lineRule="exact"/>
        <w:rPr>
          <w:rFonts w:ascii="Times New Roman" w:cs="Times New Roman" w:eastAsia="Times New Roman" w:hAnsi="Times New Roman"/>
          <w:sz w:val="19"/>
          <w:szCs w:val="19"/>
          <w:color w:val="auto"/>
          <w:vertAlign w:val="superscript"/>
        </w:rPr>
      </w:pPr>
    </w:p>
    <w:p>
      <w:pPr>
        <w:ind w:left="2360" w:right="1059" w:hanging="305"/>
        <w:spacing w:after="0" w:line="298" w:lineRule="auto"/>
        <w:tabs>
          <w:tab w:leader="none" w:pos="236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631,779 shares of common stock issuable upon exercise of stock options outstanding under our equity incentive plans, with a weighted-average exercise price of $17.36 per share;</w:t>
      </w:r>
    </w:p>
    <w:p>
      <w:pPr>
        <w:spacing w:after="0" w:line="42" w:lineRule="exact"/>
        <w:rPr>
          <w:rFonts w:ascii="Times New Roman" w:cs="Times New Roman" w:eastAsia="Times New Roman" w:hAnsi="Times New Roman"/>
          <w:sz w:val="13"/>
          <w:szCs w:val="13"/>
          <w:color w:val="auto"/>
        </w:rPr>
      </w:pPr>
    </w:p>
    <w:p>
      <w:pPr>
        <w:ind w:left="2360" w:right="799" w:hanging="305"/>
        <w:spacing w:after="0" w:line="298" w:lineRule="auto"/>
        <w:tabs>
          <w:tab w:leader="none" w:pos="236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256,524 shares of common stock issuable upon vesting of restricted stock units under our equity incentive plans, with a weighted-average grant date fair value of $9.72 per share;</w:t>
      </w:r>
    </w:p>
    <w:p>
      <w:pPr>
        <w:spacing w:after="0" w:line="42" w:lineRule="exact"/>
        <w:rPr>
          <w:rFonts w:ascii="Times New Roman" w:cs="Times New Roman" w:eastAsia="Times New Roman" w:hAnsi="Times New Roman"/>
          <w:sz w:val="13"/>
          <w:szCs w:val="13"/>
          <w:color w:val="auto"/>
        </w:rPr>
      </w:pPr>
    </w:p>
    <w:p>
      <w:pPr>
        <w:ind w:left="2360" w:hanging="305"/>
        <w:spacing w:after="0"/>
        <w:tabs>
          <w:tab w:leader="none" w:pos="236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44,840 shares of common stock reserved for future issuance under our 2015 New Employee Incentive Plan;</w:t>
      </w:r>
    </w:p>
    <w:p>
      <w:pPr>
        <w:spacing w:after="0" w:line="102" w:lineRule="exact"/>
        <w:rPr>
          <w:rFonts w:ascii="Times New Roman" w:cs="Times New Roman" w:eastAsia="Times New Roman" w:hAnsi="Times New Roman"/>
          <w:sz w:val="13"/>
          <w:szCs w:val="13"/>
          <w:color w:val="auto"/>
        </w:rPr>
      </w:pPr>
    </w:p>
    <w:p>
      <w:pPr>
        <w:ind w:left="2360" w:hanging="305"/>
        <w:spacing w:after="0"/>
        <w:tabs>
          <w:tab w:leader="none" w:pos="236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724,522 shares of common stock reserved for future issuance under our 2020 Stock Incentive Plan;</w:t>
      </w:r>
    </w:p>
    <w:p>
      <w:pPr>
        <w:spacing w:after="0" w:line="102" w:lineRule="exact"/>
        <w:rPr>
          <w:rFonts w:ascii="Times New Roman" w:cs="Times New Roman" w:eastAsia="Times New Roman" w:hAnsi="Times New Roman"/>
          <w:sz w:val="13"/>
          <w:szCs w:val="13"/>
          <w:color w:val="auto"/>
        </w:rPr>
      </w:pPr>
    </w:p>
    <w:p>
      <w:pPr>
        <w:ind w:left="2360" w:right="579" w:hanging="305"/>
        <w:spacing w:after="0" w:line="298" w:lineRule="auto"/>
        <w:tabs>
          <w:tab w:leader="none" w:pos="236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 and 1,111 shares of common stock issuable upon conversion of 1,014 shares of Series B Convertible Preferred Stock and 938 share of Series C Preferred Stock, respectively; and</w:t>
      </w:r>
    </w:p>
    <w:p>
      <w:pPr>
        <w:spacing w:after="0" w:line="42" w:lineRule="exact"/>
        <w:rPr>
          <w:rFonts w:ascii="Times New Roman" w:cs="Times New Roman" w:eastAsia="Times New Roman" w:hAnsi="Times New Roman"/>
          <w:sz w:val="13"/>
          <w:szCs w:val="13"/>
          <w:color w:val="auto"/>
        </w:rPr>
      </w:pPr>
    </w:p>
    <w:p>
      <w:pPr>
        <w:ind w:left="2360" w:right="979" w:hanging="305"/>
        <w:spacing w:after="0" w:line="298" w:lineRule="auto"/>
        <w:tabs>
          <w:tab w:leader="none" w:pos="236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1,817,714 shares of common stock issuable upon the exercise of warrants to purchase common stock, with a weighted-average exercise price of $9.54 per share.</w:t>
      </w:r>
    </w:p>
    <w:p>
      <w:pPr>
        <w:spacing w:after="0" w:line="113" w:lineRule="exact"/>
        <w:rPr>
          <w:sz w:val="20"/>
          <w:szCs w:val="20"/>
          <w:color w:val="auto"/>
        </w:rPr>
      </w:pPr>
    </w:p>
    <w:p>
      <w:pPr>
        <w:ind w:left="1660" w:right="799"/>
        <w:spacing w:after="0" w:line="298" w:lineRule="auto"/>
        <w:rPr>
          <w:sz w:val="20"/>
          <w:szCs w:val="20"/>
          <w:color w:val="auto"/>
        </w:rPr>
      </w:pPr>
      <w:r>
        <w:rPr>
          <w:rFonts w:ascii="Times New Roman" w:cs="Times New Roman" w:eastAsia="Times New Roman" w:hAnsi="Times New Roman"/>
          <w:sz w:val="13"/>
          <w:szCs w:val="13"/>
          <w:color w:val="auto"/>
        </w:rPr>
        <w:t>Unless otherwise indicated, all information in this prospectus supplement assumes no exercise of the outstanding options or warrants described above.</w:t>
      </w:r>
    </w:p>
    <w:p>
      <w:pPr>
        <w:spacing w:after="0" w:line="20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S-6</w:t>
      </w:r>
    </w:p>
    <w:p>
      <w:pPr>
        <w:sectPr>
          <w:pgSz w:w="11900" w:h="16838" w:orient="portrait"/>
          <w:cols w:equalWidth="0" w:num="1">
            <w:col w:w="10159"/>
          </w:cols>
          <w:pgMar w:left="300" w:top="37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6" w:lineRule="exact"/>
        <w:rPr>
          <w:sz w:val="20"/>
          <w:szCs w:val="20"/>
          <w:color w:val="auto"/>
        </w:rPr>
      </w:pPr>
    </w:p>
    <w:p>
      <w:pPr>
        <w:ind w:left="1520" w:right="439" w:firstLine="329"/>
        <w:spacing w:after="0" w:line="265" w:lineRule="auto"/>
        <w:rPr>
          <w:sz w:val="20"/>
          <w:szCs w:val="20"/>
          <w:color w:val="auto"/>
        </w:rPr>
      </w:pPr>
      <w:r>
        <w:rPr>
          <w:rFonts w:ascii="Times New Roman" w:cs="Times New Roman" w:eastAsia="Times New Roman" w:hAnsi="Times New Roman"/>
          <w:sz w:val="13"/>
          <w:szCs w:val="13"/>
          <w:i w:val="1"/>
          <w:iCs w:val="1"/>
          <w:color w:val="auto"/>
        </w:rPr>
        <w:t>Investing in our securities involves a high degree of risk. Before making an investment decision with respect to our securities, we urge you to carefully consider the risks described below and in the “Risk Factors” sections of our most recent Annual Report on Form 10-K and Quarterly Reports on Form 10-Q, as well as our Current Reports on Form 8-K, filed with the SEC and incorporated by reference in this prospectus, and the other information contained in this prospectus. The risks and uncertainties incorporated by reference into this prospectus or described below are not the only ones we face. Additional risks and uncertainties not presently known or which we consider immaterial as of the date hereof may also materially harm our business and could result in a complete loss of your investment. If any of the matters discussed in the following risk factors were to occur, our business, financial condition, results of operations, cash flows, or prospects could be materially and adversely affected, the market price of our common stock could decline, and you could lose all or part of your investment in our securities.</w:t>
      </w:r>
    </w:p>
    <w:p>
      <w:pPr>
        <w:spacing w:after="0" w:line="212" w:lineRule="exact"/>
        <w:rPr>
          <w:sz w:val="20"/>
          <w:szCs w:val="20"/>
          <w:color w:val="auto"/>
        </w:rPr>
      </w:pPr>
    </w:p>
    <w:p>
      <w:pPr>
        <w:ind w:left="1520" w:right="61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Our management will have broad discretion over the use of the net proceeds from this offering, you may not agree with how we use the proceeds, and the proceeds may not be invested successfully.</w:t>
      </w:r>
    </w:p>
    <w:p>
      <w:pPr>
        <w:spacing w:after="0" w:line="29" w:lineRule="exact"/>
        <w:rPr>
          <w:sz w:val="20"/>
          <w:szCs w:val="20"/>
          <w:color w:val="auto"/>
        </w:rPr>
      </w:pPr>
    </w:p>
    <w:p>
      <w:pPr>
        <w:ind w:left="1520" w:right="519" w:firstLine="329"/>
        <w:spacing w:after="0" w:line="268" w:lineRule="auto"/>
        <w:rPr>
          <w:sz w:val="20"/>
          <w:szCs w:val="20"/>
          <w:color w:val="auto"/>
        </w:rPr>
      </w:pPr>
      <w:r>
        <w:rPr>
          <w:rFonts w:ascii="Times New Roman" w:cs="Times New Roman" w:eastAsia="Times New Roman" w:hAnsi="Times New Roman"/>
          <w:sz w:val="13"/>
          <w:szCs w:val="13"/>
          <w:color w:val="auto"/>
        </w:rPr>
        <w:t>Our management will have broad discretion as to the use of the net proceeds from this offering and could use them for purposes other than those contemplated at the time of commencement of this offering. Accordingly, you will be relying on the judgment of our management regarding the use of these net proceeds, and you will not have the opportunity, as part of your investment decision, to assess whether the proceeds are being used appropriately. It is possible that, pending their use, we may invest the net proceeds in a way that does not yield a favorable, or any, return for us. The failure of our management to use such funds effectively could have a material adverse effect on our business, financial condition, operating results and cash flows.</w:t>
      </w:r>
    </w:p>
    <w:p>
      <w:pPr>
        <w:spacing w:after="0" w:line="37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i w:val="1"/>
          <w:iCs w:val="1"/>
          <w:color w:val="auto"/>
        </w:rPr>
        <w:t>You will experience immediate and substantial dilution in the net tangible book value per share of the common stock you purchase.</w:t>
      </w:r>
    </w:p>
    <w:p>
      <w:pPr>
        <w:spacing w:after="0" w:line="97" w:lineRule="exact"/>
        <w:rPr>
          <w:sz w:val="20"/>
          <w:szCs w:val="20"/>
          <w:color w:val="auto"/>
        </w:rPr>
      </w:pPr>
    </w:p>
    <w:p>
      <w:pPr>
        <w:ind w:left="1520" w:right="439" w:firstLine="329"/>
        <w:spacing w:after="0" w:line="262" w:lineRule="auto"/>
        <w:rPr>
          <w:sz w:val="20"/>
          <w:szCs w:val="20"/>
          <w:color w:val="auto"/>
        </w:rPr>
      </w:pPr>
      <w:r>
        <w:rPr>
          <w:rFonts w:ascii="Times New Roman" w:cs="Times New Roman" w:eastAsia="Times New Roman" w:hAnsi="Times New Roman"/>
          <w:sz w:val="13"/>
          <w:szCs w:val="13"/>
          <w:color w:val="auto"/>
        </w:rPr>
        <w:t>The offering price per share in this offering may exceed the historical and pro forma as adjusted net tangible book value per share of our common stock outstanding prior to this offering. If the price per share of our common stock being offered is substantially higher than the pro forma as adjusted net tangible book value per share of our common stock, you will suffer immediate and substantial dilution in the pro forma net tangible book value of the common stock you purchase in this offering. Assuming that an aggregate of 2,612,952 shares of our common stock are sold at a price of $6.64 per share, the last reported sale price of our common stock on Nasdaq on May 27, 2026, for aggregate gross proceeds of $17,350,000 and after deducting commissions and estimated offering expenses payable by us, you would experience immediate dilution of $3.71 per share, representing the difference between our pro forma as adjusted net tangible book value per share of common stock as of March 31, 2026. If we were to sell shares of our common stock in this offering at a price per share greater than our pro forma net tangible book value, it would result in dilution of your investment. See the section entitled “Dilution” below for a more detailed illustration of the dilution you may incur if you participate in this offering. Because the sales of the shares offered hereby will be made directly into the market or in negotiated transactions, the prices at which we sell these shares will vary and these variations may be significant. Purchasers of the shares we sell, as well as our existing shareholders, will experience significant dilution if we sell shares at prices significantly below the price at which they invested.</w:t>
      </w:r>
    </w:p>
    <w:p>
      <w:pPr>
        <w:spacing w:after="0" w:line="218" w:lineRule="exact"/>
        <w:rPr>
          <w:sz w:val="20"/>
          <w:szCs w:val="20"/>
          <w:color w:val="auto"/>
        </w:rPr>
      </w:pPr>
    </w:p>
    <w:p>
      <w:pPr>
        <w:ind w:left="1520" w:right="49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You may experience future dilution as a result of future equity offerings and other issuances of our common stock or other securities. In addition, this offering and future equity offerings and other issuances of our common stock or other securities may adversely affect our common stock price.</w:t>
      </w:r>
    </w:p>
    <w:p>
      <w:pPr>
        <w:spacing w:after="0" w:line="29" w:lineRule="exact"/>
        <w:rPr>
          <w:sz w:val="20"/>
          <w:szCs w:val="20"/>
          <w:color w:val="auto"/>
        </w:rPr>
      </w:pPr>
    </w:p>
    <w:p>
      <w:pPr>
        <w:ind w:left="1520" w:right="499" w:firstLine="329"/>
        <w:spacing w:after="0" w:line="278" w:lineRule="auto"/>
        <w:rPr>
          <w:sz w:val="20"/>
          <w:szCs w:val="20"/>
          <w:color w:val="auto"/>
        </w:rPr>
      </w:pPr>
      <w:r>
        <w:rPr>
          <w:rFonts w:ascii="Times New Roman" w:cs="Times New Roman" w:eastAsia="Times New Roman" w:hAnsi="Times New Roman"/>
          <w:sz w:val="13"/>
          <w:szCs w:val="13"/>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not be able to sell shares or other securities in any other offering at a</w:t>
      </w:r>
    </w:p>
    <w:p>
      <w:pPr>
        <w:spacing w:after="0" w:line="7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S-7</w:t>
      </w:r>
    </w:p>
    <w:p>
      <w:pPr>
        <w:sectPr>
          <w:pgSz w:w="11900" w:h="16838" w:orient="portrait"/>
          <w:cols w:equalWidth="0" w:num="1">
            <w:col w:w="10159"/>
          </w:cols>
          <w:pgMar w:left="300" w:top="375"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20" w:right="419"/>
        <w:spacing w:after="0" w:line="265" w:lineRule="auto"/>
        <w:rPr>
          <w:sz w:val="20"/>
          <w:szCs w:val="20"/>
          <w:color w:val="auto"/>
        </w:rPr>
      </w:pPr>
      <w:r>
        <w:rPr>
          <w:rFonts w:ascii="Times New Roman" w:cs="Times New Roman" w:eastAsia="Times New Roman" w:hAnsi="Times New Roman"/>
          <w:sz w:val="13"/>
          <w:szCs w:val="13"/>
          <w:color w:val="auto"/>
        </w:rPr>
        <w:t>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our common stock or securities convertible into common stock in future transactions may be higher or lower than the price per share in this offering. You will incur dilution upon exercise of any outstanding stock options, warrants or upon the issuance of shares of common stock under our stock incentive programs. In addition, the sale of shares of our common stock in this offering and any future sales of a substantial number of shares of our common stock in the public market, or the perception that such sales may occur, could adversely affect the price of our common stock. We cannot predict the effect, if any, that market sales of those shares of common stock or the availability of those shares for sale will have on the market price of our common stock.</w:t>
      </w:r>
    </w:p>
    <w:p>
      <w:pPr>
        <w:spacing w:after="0" w:line="214" w:lineRule="exact"/>
        <w:rPr>
          <w:sz w:val="20"/>
          <w:szCs w:val="20"/>
          <w:color w:val="auto"/>
        </w:rPr>
      </w:pPr>
    </w:p>
    <w:p>
      <w:pPr>
        <w:ind w:left="1520" w:right="63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The common stock offered hereby will be sold in “at the market offering” and investors who buy shares at different times will likely pay different prices.</w:t>
      </w:r>
    </w:p>
    <w:p>
      <w:pPr>
        <w:spacing w:after="0" w:line="29" w:lineRule="exact"/>
        <w:rPr>
          <w:sz w:val="20"/>
          <w:szCs w:val="20"/>
          <w:color w:val="auto"/>
        </w:rPr>
      </w:pPr>
    </w:p>
    <w:p>
      <w:pPr>
        <w:ind w:left="1520" w:right="399" w:firstLine="329"/>
        <w:spacing w:after="0" w:line="272" w:lineRule="auto"/>
        <w:rPr>
          <w:sz w:val="20"/>
          <w:szCs w:val="20"/>
          <w:color w:val="auto"/>
        </w:rPr>
      </w:pPr>
      <w:r>
        <w:rPr>
          <w:rFonts w:ascii="Times New Roman" w:cs="Times New Roman" w:eastAsia="Times New Roman" w:hAnsi="Times New Roman"/>
          <w:sz w:val="13"/>
          <w:szCs w:val="13"/>
          <w:color w:val="auto"/>
        </w:rPr>
        <w:t>Investors who purchase shares of common stock in this offering at different times will likely pay different prices and so may experience different outcomes in their investment results. We will have discretion, subject to market demand, to vary the timing, prices, and numbers of shares of common stock sold, and there is no minimum or maximum sales price. Investors may experience a decline in the value of their shares of common stock as a result of sales of common stock made at prices lower than the prices they paid.</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The actual number of shares of common stock we will issue under the Equity Distribution Agreement, at any one time or in total, is uncertain.</w:t>
      </w:r>
    </w:p>
    <w:p>
      <w:pPr>
        <w:spacing w:after="0" w:line="97" w:lineRule="exact"/>
        <w:rPr>
          <w:sz w:val="20"/>
          <w:szCs w:val="20"/>
          <w:color w:val="auto"/>
        </w:rPr>
      </w:pPr>
    </w:p>
    <w:p>
      <w:pPr>
        <w:ind w:left="1520" w:right="439" w:firstLine="329"/>
        <w:spacing w:after="0" w:line="269" w:lineRule="auto"/>
        <w:rPr>
          <w:sz w:val="20"/>
          <w:szCs w:val="20"/>
          <w:color w:val="auto"/>
        </w:rPr>
      </w:pPr>
      <w:r>
        <w:rPr>
          <w:rFonts w:ascii="Times New Roman" w:cs="Times New Roman" w:eastAsia="Times New Roman" w:hAnsi="Times New Roman"/>
          <w:sz w:val="13"/>
          <w:szCs w:val="13"/>
          <w:color w:val="auto"/>
        </w:rPr>
        <w:t>Subject to certain limitations in the Equity Distribution Agreement and compliance with applicable law, we have the discretion to deliver a sales notice to the Sales Agent at any time throughout the term of the Equity Distribution Agreement. The number of shares of common stock that are sold by the Sales Agent after delivering a sales notice will fluctuate based on the market price of the common stock during the sales period and limits we set with the Sales Agent. Because the price per share of each share of common stock sold will fluctuate based on the market price of our common stock during the sales period, it is not possible at this stage to predict the number of shares of common stock that will be ultimately issued.</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S-8</w:t>
      </w:r>
    </w:p>
    <w:p>
      <w:pPr>
        <w:sectPr>
          <w:pgSz w:w="11900" w:h="16838" w:orient="portrait"/>
          <w:cols w:equalWidth="0" w:num="1">
            <w:col w:w="10159"/>
          </w:cols>
          <w:pgMar w:left="300" w:top="375"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8" w:lineRule="exact"/>
        <w:rPr>
          <w:sz w:val="20"/>
          <w:szCs w:val="20"/>
          <w:color w:val="auto"/>
        </w:rPr>
      </w:pPr>
    </w:p>
    <w:p>
      <w:pPr>
        <w:ind w:left="1520" w:right="439"/>
        <w:spacing w:after="0" w:line="271" w:lineRule="auto"/>
        <w:rPr>
          <w:sz w:val="20"/>
          <w:szCs w:val="20"/>
          <w:color w:val="auto"/>
        </w:rPr>
      </w:pPr>
      <w:r>
        <w:rPr>
          <w:rFonts w:ascii="Times New Roman" w:cs="Times New Roman" w:eastAsia="Times New Roman" w:hAnsi="Times New Roman"/>
          <w:sz w:val="13"/>
          <w:szCs w:val="13"/>
          <w:color w:val="auto"/>
        </w:rPr>
        <w:t>We may offer and sell shares of our common stock having aggregate sales proceeds of up to $17,350,000 from time to time. The amount of proceeds we receive, if any, will depend on the actual number of shares of our common stock sold and the market price at which such shares are sold. There can be no assurance that we will be able to sell any shares or fully utilize the Equity Distribution Agreement with the Sales Agent as a source of financing. Because there is no minimum offering amount required as a condition to close this offering, the net proceeds to us, if any, are not determinable at this time.</w:t>
      </w:r>
    </w:p>
    <w:p>
      <w:pPr>
        <w:spacing w:after="0" w:line="294" w:lineRule="exact"/>
        <w:rPr>
          <w:sz w:val="20"/>
          <w:szCs w:val="20"/>
          <w:color w:val="auto"/>
        </w:rPr>
      </w:pPr>
    </w:p>
    <w:p>
      <w:pPr>
        <w:ind w:left="1520" w:right="479"/>
        <w:spacing w:after="0" w:line="269" w:lineRule="auto"/>
        <w:rPr>
          <w:sz w:val="20"/>
          <w:szCs w:val="20"/>
          <w:color w:val="auto"/>
        </w:rPr>
      </w:pPr>
      <w:r>
        <w:rPr>
          <w:rFonts w:ascii="Times New Roman" w:cs="Times New Roman" w:eastAsia="Times New Roman" w:hAnsi="Times New Roman"/>
          <w:sz w:val="13"/>
          <w:szCs w:val="13"/>
          <w:color w:val="auto"/>
        </w:rPr>
        <w:t>The precise amount and timing of the application of such net proceeds will depend upon our funding requirements and the availability and cost of other funds. Our board of directors and management will have considerable discretion in the application of the net proceeds from this offering, and it is possible that we may allocate the proceeds differently than investors in the offering may desire or that we may fail to maximize the return on these proceeds. You will be relying on the judgment of our management with regard to the use of proceeds from this offering, and you will not have the opportunity, as part of your investment decision, to assess whether the proceeds are being used appropriately.</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S-9</w:t>
      </w:r>
    </w:p>
    <w:p>
      <w:pPr>
        <w:sectPr>
          <w:pgSz w:w="11900" w:h="16838" w:orient="portrait"/>
          <w:cols w:equalWidth="0" w:num="1">
            <w:col w:w="10159"/>
          </w:cols>
          <w:pgMar w:left="300" w:top="375"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DILUTION</w:t>
      </w:r>
    </w:p>
    <w:p>
      <w:pPr>
        <w:spacing w:after="0" w:line="178" w:lineRule="exact"/>
        <w:rPr>
          <w:sz w:val="20"/>
          <w:szCs w:val="20"/>
          <w:color w:val="auto"/>
        </w:rPr>
      </w:pPr>
    </w:p>
    <w:p>
      <w:pPr>
        <w:ind w:left="1520" w:right="439" w:firstLine="329"/>
        <w:spacing w:after="0" w:line="276" w:lineRule="auto"/>
        <w:rPr>
          <w:sz w:val="20"/>
          <w:szCs w:val="20"/>
          <w:color w:val="auto"/>
        </w:rPr>
      </w:pPr>
      <w:r>
        <w:rPr>
          <w:rFonts w:ascii="Times New Roman" w:cs="Times New Roman" w:eastAsia="Times New Roman" w:hAnsi="Times New Roman"/>
          <w:sz w:val="13"/>
          <w:szCs w:val="13"/>
          <w:color w:val="auto"/>
        </w:rPr>
        <w:t>If you purchase our common stock in this offering, your ownership interest will be immediately diluted to the extent of the difference between the public offering price per share and the net tangible book value per share of our common stock immediately after this offering. Net tangible book value per share is determined by dividing the number of shares of common stock outstanding as of March 31, 2026 into our total tangible assets less total liabilities.</w:t>
      </w:r>
    </w:p>
    <w:p>
      <w:pPr>
        <w:spacing w:after="0" w:line="292" w:lineRule="exact"/>
        <w:rPr>
          <w:sz w:val="20"/>
          <w:szCs w:val="20"/>
          <w:color w:val="auto"/>
        </w:rPr>
      </w:pPr>
    </w:p>
    <w:p>
      <w:pPr>
        <w:ind w:left="1520" w:right="419" w:firstLine="329"/>
        <w:spacing w:after="0" w:line="265" w:lineRule="auto"/>
        <w:rPr>
          <w:sz w:val="20"/>
          <w:szCs w:val="20"/>
          <w:color w:val="auto"/>
        </w:rPr>
      </w:pPr>
      <w:r>
        <w:rPr>
          <w:rFonts w:ascii="Times New Roman" w:cs="Times New Roman" w:eastAsia="Times New Roman" w:hAnsi="Times New Roman"/>
          <w:sz w:val="13"/>
          <w:szCs w:val="13"/>
          <w:color w:val="auto"/>
        </w:rPr>
        <w:t>Our net tangible book value as of March 31, 2026 was $11.3 million, or $1.65 per share, based on 6,862,027 shares of our common stock outstanding as of that date. After giving effect to the sale of 2,612,952 shares of common stock by us at an assumed public offering price of $6.64 per share, the last reported sale price of our common stock on the Nasdaq Capital Market on May 27, 2026, and after deducting the estimated selling discounts and commissions and estimated offering expenses payable by us, our as adjusted net tangible book value as of March 31, 2026 would have been approximately $27.8 million, or approximately $2.93 per share. This represents an immediate increase in net tangible book value of approximately $1.28 per share to existing stockholders and immediate dilution of approximately $3.71 per share to investors purchasing shares of common stock in this offering, as illustrated by the following table:</w:t>
      </w:r>
    </w:p>
    <w:p>
      <w:pPr>
        <w:spacing w:after="0" w:line="170" w:lineRule="exact"/>
        <w:rPr>
          <w:sz w:val="20"/>
          <w:szCs w:val="20"/>
          <w:color w:val="auto"/>
        </w:rPr>
      </w:pPr>
    </w:p>
    <w:tbl>
      <w:tblPr>
        <w:tblLayout w:type="fixed"/>
        <w:tblInd w:w="2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Assumed offering price per share</w:t>
            </w: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$6.64</w:t>
            </w: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3"/>
                <w:szCs w:val="13"/>
                <w:color w:val="auto"/>
              </w:rPr>
              <w:t>Net tangible book value per share as of March 31, 2026</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w w:val="95"/>
              </w:rPr>
              <w:t>$1.65</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to net tangible book value per share attributable to this offering</w:t>
            </w:r>
          </w:p>
        </w:tc>
        <w:tc>
          <w:tcPr>
            <w:tcW w:w="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u w:val="single" w:color="auto"/>
                <w:color w:val="auto"/>
                <w:w w:val="95"/>
              </w:rPr>
              <w:t>$</w:t>
            </w:r>
            <w:r>
              <w:rPr>
                <w:rFonts w:ascii="Times New Roman" w:cs="Times New Roman" w:eastAsia="Times New Roman" w:hAnsi="Times New Roman"/>
                <w:sz w:val="13"/>
                <w:szCs w:val="13"/>
                <w:color w:val="auto"/>
                <w:w w:val="95"/>
              </w:rPr>
              <w:t>1.28</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adjusted net tangible book value per share after this offering</w:t>
            </w:r>
          </w:p>
        </w:tc>
        <w:tc>
          <w:tcPr>
            <w:tcW w:w="3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2.93</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Dilution per share to new investors in this offering</w:t>
            </w: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3.71</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9" w:lineRule="exact"/>
        <w:rPr>
          <w:sz w:val="20"/>
          <w:szCs w:val="20"/>
          <w:color w:val="auto"/>
        </w:rPr>
      </w:pPr>
    </w:p>
    <w:p>
      <w:pPr>
        <w:ind w:left="1520" w:right="519" w:firstLine="329"/>
        <w:spacing w:after="0" w:line="264" w:lineRule="auto"/>
        <w:rPr>
          <w:sz w:val="20"/>
          <w:szCs w:val="20"/>
          <w:color w:val="auto"/>
        </w:rPr>
      </w:pPr>
      <w:r>
        <w:rPr>
          <w:rFonts w:ascii="Times New Roman" w:cs="Times New Roman" w:eastAsia="Times New Roman" w:hAnsi="Times New Roman"/>
          <w:sz w:val="13"/>
          <w:szCs w:val="13"/>
          <w:color w:val="auto"/>
        </w:rPr>
        <w:t>An increase of $1.00 per share in the price at which the shares are sold from the assumed offering price of $6.64 per share shown in the table above, assuming all of our common stock in the aggregate amount of $17,350,000 during the term of the Equity Distribution Agreement is sold at that price, would increase the dilution in as adjusted net tangible book value per share to new investors in this offering to $4.60 per share, after deducting commissions and estimated aggregate offering expenses payable by us. A decrease of $1.00 per share in the price at which the shares are sold from the assumed offering price of $6.64 per share shown in the table above, assuming all of our common stock in the aggregate amount of $17,350,000 during the term of the Equity Distribution Agreement is sold at that price, would decrease the dilution in pro forma as adjusted net tangible book value per share to new investors in this offering to $2.84 per share, after deducting commissions and estimated aggregate offering expenses payable by us. This information is supplied for illustrative purposes only.</w:t>
      </w:r>
    </w:p>
    <w:p>
      <w:pPr>
        <w:spacing w:after="0" w:line="1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table above is based on 6,862,027 shares outstanding as of March 31, 2026, and excludes, as of such date:</w:t>
      </w:r>
    </w:p>
    <w:p>
      <w:pPr>
        <w:spacing w:after="0" w:line="103" w:lineRule="exact"/>
        <w:rPr>
          <w:sz w:val="20"/>
          <w:szCs w:val="20"/>
          <w:color w:val="auto"/>
        </w:rPr>
      </w:pPr>
    </w:p>
    <w:p>
      <w:pPr>
        <w:ind w:left="2260" w:right="599" w:hanging="331"/>
        <w:spacing w:after="0" w:line="298" w:lineRule="auto"/>
        <w:tabs>
          <w:tab w:leader="none" w:pos="2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606,421 shares of common stock issuable upon exercise of stock options outstanding under our equity incentive plans, with a weighted-average exercise price of $18.28 per share;</w:t>
      </w:r>
    </w:p>
    <w:p>
      <w:pPr>
        <w:spacing w:after="0" w:line="42" w:lineRule="exact"/>
        <w:rPr>
          <w:rFonts w:ascii="Times New Roman" w:cs="Times New Roman" w:eastAsia="Times New Roman" w:hAnsi="Times New Roman"/>
          <w:sz w:val="13"/>
          <w:szCs w:val="13"/>
          <w:color w:val="auto"/>
        </w:rPr>
      </w:pPr>
    </w:p>
    <w:p>
      <w:pPr>
        <w:ind w:left="2260" w:right="499" w:hanging="331"/>
        <w:spacing w:after="0" w:line="298" w:lineRule="auto"/>
        <w:tabs>
          <w:tab w:leader="none" w:pos="2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253,042 shares of common stock issuable upon vesting of restricted stock units under our equity incentive plans, with a weighted-average grant date fair value of $10.02 per share;</w:t>
      </w:r>
    </w:p>
    <w:p>
      <w:pPr>
        <w:spacing w:after="0" w:line="4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95,640 shares of common stock reserved for future issuance under our 2015 New Employee Incentive Plan;</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522 shares of common stock reserved for future issuance under our 2020 Stock Incentive Plan;</w:t>
      </w:r>
    </w:p>
    <w:p>
      <w:pPr>
        <w:spacing w:after="0" w:line="102" w:lineRule="exact"/>
        <w:rPr>
          <w:rFonts w:ascii="Times New Roman" w:cs="Times New Roman" w:eastAsia="Times New Roman" w:hAnsi="Times New Roman"/>
          <w:sz w:val="13"/>
          <w:szCs w:val="13"/>
          <w:color w:val="auto"/>
        </w:rPr>
      </w:pPr>
    </w:p>
    <w:p>
      <w:pPr>
        <w:ind w:left="2260" w:right="539" w:hanging="331"/>
        <w:spacing w:after="0" w:line="298" w:lineRule="auto"/>
        <w:tabs>
          <w:tab w:leader="none" w:pos="2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 and 1,111 shares of common stock issuable upon conversion of 1,014 shares of Series B Convertible Preferred Stock and 938 share of Series C Preferred Stock, respectively; and</w:t>
      </w:r>
    </w:p>
    <w:p>
      <w:pPr>
        <w:spacing w:after="0" w:line="42" w:lineRule="exact"/>
        <w:rPr>
          <w:rFonts w:ascii="Times New Roman" w:cs="Times New Roman" w:eastAsia="Times New Roman" w:hAnsi="Times New Roman"/>
          <w:sz w:val="13"/>
          <w:szCs w:val="13"/>
          <w:color w:val="auto"/>
        </w:rPr>
      </w:pPr>
    </w:p>
    <w:p>
      <w:pPr>
        <w:ind w:left="2260" w:right="619" w:hanging="331"/>
        <w:spacing w:after="0" w:line="298" w:lineRule="auto"/>
        <w:tabs>
          <w:tab w:leader="none" w:pos="2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1,817,714 shares of common stock issuable upon the exercise of warrants to purchase common stock, with a weighted-average exercise price of $9.54 per share.</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S-10</w:t>
      </w:r>
    </w:p>
    <w:p>
      <w:pPr>
        <w:sectPr>
          <w:pgSz w:w="11900" w:h="16838" w:orient="portrait"/>
          <w:cols w:equalWidth="0" w:num="1">
            <w:col w:w="10159"/>
          </w:cols>
          <w:pgMar w:left="300" w:top="375"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78" w:lineRule="exact"/>
        <w:rPr>
          <w:sz w:val="20"/>
          <w:szCs w:val="20"/>
          <w:color w:val="auto"/>
        </w:rPr>
      </w:pPr>
    </w:p>
    <w:p>
      <w:pPr>
        <w:ind w:left="1520" w:right="399"/>
        <w:spacing w:after="0" w:line="267" w:lineRule="auto"/>
        <w:rPr>
          <w:sz w:val="20"/>
          <w:szCs w:val="20"/>
          <w:color w:val="auto"/>
        </w:rPr>
      </w:pPr>
      <w:r>
        <w:rPr>
          <w:rFonts w:ascii="Times New Roman" w:cs="Times New Roman" w:eastAsia="Times New Roman" w:hAnsi="Times New Roman"/>
          <w:sz w:val="13"/>
          <w:szCs w:val="13"/>
          <w:color w:val="auto"/>
        </w:rPr>
        <w:t>We have entered into a sales agreement with Canaccord Genuity LLC, or Canaccord, under which we may issue and sell shares of our common stock from time to time through or to Canaccord acting as sales agent or principal, subject to certain limitations, having an aggregate gross sales price of up to $17,350,000. Sales of our common stock, if any, under this prospectus supplement and the accompanying prospectus may be made in sales deemed to be “at the market offerings” as defined in Rule 415 promulgated under the Securities Act. We may instruct Canaccord not to sell our common stock if the sales cannot be effected at or above the price designated by us from time to time. We or Canaccord may suspend the offering of our common stock upon notice and subject to other conditions. As our agent, Canaccord will not engage in any transactions that stabilize the price of our common stock.</w:t>
      </w:r>
    </w:p>
    <w:p>
      <w:pPr>
        <w:spacing w:after="0" w:line="133" w:lineRule="exact"/>
        <w:rPr>
          <w:sz w:val="20"/>
          <w:szCs w:val="20"/>
          <w:color w:val="auto"/>
        </w:rPr>
      </w:pPr>
    </w:p>
    <w:p>
      <w:pPr>
        <w:ind w:left="1520" w:right="419"/>
        <w:spacing w:after="0" w:line="269" w:lineRule="auto"/>
        <w:rPr>
          <w:sz w:val="20"/>
          <w:szCs w:val="20"/>
          <w:color w:val="auto"/>
        </w:rPr>
      </w:pPr>
      <w:r>
        <w:rPr>
          <w:rFonts w:ascii="Times New Roman" w:cs="Times New Roman" w:eastAsia="Times New Roman" w:hAnsi="Times New Roman"/>
          <w:sz w:val="13"/>
          <w:szCs w:val="13"/>
          <w:color w:val="auto"/>
        </w:rPr>
        <w:t>Each time we wish to issue and sell common stock under the sales agreement, we will notify Canaccord of the number or dollar value of shares to be sold, the dates on which such sales are anticipated to be made, any minimum price below which sales may not be made and other sales parameters as we deem appropriate. Once we have so instructed Canaccord, unless Canaccord declines to accept the terms of the notice, Canaccord has agreed to use its commercially reasonable efforts consistent with its normal trading and sales practices to sell such shares up to the amount specified on such terms. The obligation of Canaccord under the sales agreement to sell shares of our common stock is subject to a number of conditions that we must meet.</w:t>
      </w:r>
    </w:p>
    <w:p>
      <w:pPr>
        <w:spacing w:after="0" w:line="131" w:lineRule="exact"/>
        <w:rPr>
          <w:sz w:val="20"/>
          <w:szCs w:val="20"/>
          <w:color w:val="auto"/>
        </w:rPr>
      </w:pPr>
    </w:p>
    <w:p>
      <w:pPr>
        <w:ind w:left="1520" w:right="559"/>
        <w:spacing w:after="0" w:line="269" w:lineRule="auto"/>
        <w:rPr>
          <w:sz w:val="20"/>
          <w:szCs w:val="20"/>
          <w:color w:val="auto"/>
        </w:rPr>
      </w:pPr>
      <w:r>
        <w:rPr>
          <w:rFonts w:ascii="Times New Roman" w:cs="Times New Roman" w:eastAsia="Times New Roman" w:hAnsi="Times New Roman"/>
          <w:sz w:val="13"/>
          <w:szCs w:val="13"/>
          <w:color w:val="auto"/>
        </w:rPr>
        <w:t>We will pay Canaccord a commission equal to 3.0% of the gross proceeds we receive from the sales of our common stock under the sales agreement. Because there is no minimum offering amount required as a condition to closing this offering, the actual total public offering amount, Canaccord’s commission and proceeds to us, if any, are not determinable at this time. In addition, we have agreed to reimburse Canaccord for its reasonable documented out-of-pocket expenses, including fees and disbursements of its counsel, in the amount of $75,000. We estimate that the total expenses of the offering payable by us, excluding commissions payable to Canaccord under the sales agreement, will be approximately $340,000.</w:t>
      </w:r>
    </w:p>
    <w:p>
      <w:pPr>
        <w:spacing w:after="0" w:line="131" w:lineRule="exact"/>
        <w:rPr>
          <w:sz w:val="20"/>
          <w:szCs w:val="20"/>
          <w:color w:val="auto"/>
        </w:rPr>
      </w:pPr>
    </w:p>
    <w:p>
      <w:pPr>
        <w:ind w:left="1520" w:right="419"/>
        <w:spacing w:after="0" w:line="298" w:lineRule="auto"/>
        <w:rPr>
          <w:sz w:val="20"/>
          <w:szCs w:val="20"/>
          <w:color w:val="auto"/>
        </w:rPr>
      </w:pPr>
      <w:r>
        <w:rPr>
          <w:rFonts w:ascii="Times New Roman" w:cs="Times New Roman" w:eastAsia="Times New Roman" w:hAnsi="Times New Roman"/>
          <w:sz w:val="13"/>
          <w:szCs w:val="13"/>
          <w:color w:val="auto"/>
        </w:rPr>
        <w:t>Settlement for sales of our common stock will occur on the first trading day following the date on which any sales are made, in return for payment of the net proceeds to us. There is no arrangement for funds to be received in an escrow, trust or similar arrangement.</w:t>
      </w:r>
    </w:p>
    <w:p>
      <w:pPr>
        <w:spacing w:after="0" w:line="113" w:lineRule="exact"/>
        <w:rPr>
          <w:sz w:val="20"/>
          <w:szCs w:val="20"/>
          <w:color w:val="auto"/>
        </w:rPr>
      </w:pPr>
    </w:p>
    <w:p>
      <w:pPr>
        <w:ind w:left="1520" w:right="539"/>
        <w:spacing w:after="0" w:line="278" w:lineRule="auto"/>
        <w:rPr>
          <w:sz w:val="20"/>
          <w:szCs w:val="20"/>
          <w:color w:val="auto"/>
        </w:rPr>
      </w:pPr>
      <w:r>
        <w:rPr>
          <w:rFonts w:ascii="Times New Roman" w:cs="Times New Roman" w:eastAsia="Times New Roman" w:hAnsi="Times New Roman"/>
          <w:sz w:val="13"/>
          <w:szCs w:val="13"/>
          <w:color w:val="auto"/>
        </w:rPr>
        <w:t>In connection with the sale of the common stock on our behalf, Canaccord will be deemed to be an “underwriter” within the meaning of the Securities Act, and the compensation of Canaccord will be deemed to be underwriting commission or discount. We have agreed to provide indemnification and contribution to Canaccord against certain liabilities, including liabilities under the Securities Act.</w:t>
      </w:r>
    </w:p>
    <w:p>
      <w:pPr>
        <w:spacing w:after="0" w:line="127" w:lineRule="exact"/>
        <w:rPr>
          <w:sz w:val="20"/>
          <w:szCs w:val="20"/>
          <w:color w:val="auto"/>
        </w:rPr>
      </w:pPr>
    </w:p>
    <w:p>
      <w:pPr>
        <w:ind w:left="1520" w:right="499"/>
        <w:spacing w:after="0" w:line="298" w:lineRule="auto"/>
        <w:rPr>
          <w:sz w:val="20"/>
          <w:szCs w:val="20"/>
          <w:color w:val="auto"/>
        </w:rPr>
      </w:pPr>
      <w:r>
        <w:rPr>
          <w:rFonts w:ascii="Times New Roman" w:cs="Times New Roman" w:eastAsia="Times New Roman" w:hAnsi="Times New Roman"/>
          <w:sz w:val="13"/>
          <w:szCs w:val="13"/>
          <w:color w:val="auto"/>
        </w:rPr>
        <w:t>The offering pursuant to the sales agreement will terminate upon the earlier of (i) the issuance and sale of all shares of our common stock subject to the sales agreement, or (ii) the termination of the sales agreement as permitted therein.</w:t>
      </w:r>
    </w:p>
    <w:p>
      <w:pPr>
        <w:spacing w:after="0" w:line="113" w:lineRule="exact"/>
        <w:rPr>
          <w:sz w:val="20"/>
          <w:szCs w:val="20"/>
          <w:color w:val="auto"/>
        </w:rPr>
      </w:pPr>
    </w:p>
    <w:p>
      <w:pPr>
        <w:ind w:left="1520" w:right="399"/>
        <w:spacing w:after="0" w:line="278" w:lineRule="auto"/>
        <w:rPr>
          <w:sz w:val="20"/>
          <w:szCs w:val="20"/>
          <w:color w:val="auto"/>
        </w:rPr>
      </w:pPr>
      <w:r>
        <w:rPr>
          <w:rFonts w:ascii="Times New Roman" w:cs="Times New Roman" w:eastAsia="Times New Roman" w:hAnsi="Times New Roman"/>
          <w:sz w:val="13"/>
          <w:szCs w:val="13"/>
          <w:color w:val="auto"/>
        </w:rPr>
        <w:t>Canaccord and its affiliates may in the future provide various investment banking and other financial services for us and our affiliates, for which services they may in the future receive customary fees. To the extent required by Regulation M, Canaccord will not engage in any market making activities involving our common stock while the offering is ongoing under this prospectus supplement.</w:t>
      </w:r>
    </w:p>
    <w:p>
      <w:pPr>
        <w:spacing w:after="0" w:line="2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S-11</w:t>
      </w:r>
    </w:p>
    <w:p>
      <w:pPr>
        <w:sectPr>
          <w:pgSz w:w="11900" w:h="16838" w:orient="portrait"/>
          <w:cols w:equalWidth="0" w:num="1">
            <w:col w:w="10159"/>
          </w:cols>
          <w:pgMar w:left="300" w:top="375"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DESCRIPTION OF SECURITIES WE ARE OFFERING</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97" w:lineRule="exact"/>
        <w:rPr>
          <w:sz w:val="20"/>
          <w:szCs w:val="20"/>
          <w:color w:val="auto"/>
        </w:rPr>
      </w:pPr>
    </w:p>
    <w:p>
      <w:pPr>
        <w:ind w:left="1520" w:right="439"/>
        <w:spacing w:after="0" w:line="271" w:lineRule="auto"/>
        <w:rPr>
          <w:sz w:val="20"/>
          <w:szCs w:val="20"/>
          <w:color w:val="auto"/>
        </w:rPr>
      </w:pPr>
      <w:r>
        <w:rPr>
          <w:rFonts w:ascii="Times New Roman" w:cs="Times New Roman" w:eastAsia="Times New Roman" w:hAnsi="Times New Roman"/>
          <w:sz w:val="13"/>
          <w:szCs w:val="13"/>
          <w:color w:val="auto"/>
        </w:rPr>
        <w:t>We are offering up to $17,350,000 of shares of our common stock in this offering pursuant to this prospectus supplement and the accompanying prospectus. As of May 27, 2026, there were 6,883,897 shares of common stock issued and outstanding, held by approximately 28 stockholders of record. Not reflected in the number of stockholders of record are persons who beneficially own shares of common stock held in nominee or street name. See “Descriptions of Common Stock” beginning on page 13 in the accompanying prospectus for more information regarding our shares of common stock.</w:t>
      </w:r>
    </w:p>
    <w:p>
      <w:pPr>
        <w:spacing w:after="0" w:line="200" w:lineRule="exact"/>
        <w:rPr>
          <w:sz w:val="20"/>
          <w:szCs w:val="20"/>
          <w:color w:val="auto"/>
        </w:rPr>
      </w:pPr>
    </w:p>
    <w:p>
      <w:pPr>
        <w:spacing w:after="0" w:line="25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78" w:lineRule="exact"/>
        <w:rPr>
          <w:sz w:val="20"/>
          <w:szCs w:val="20"/>
          <w:color w:val="auto"/>
        </w:rPr>
      </w:pPr>
    </w:p>
    <w:p>
      <w:pPr>
        <w:ind w:left="1520" w:right="539"/>
        <w:spacing w:after="0" w:line="278" w:lineRule="auto"/>
        <w:rPr>
          <w:sz w:val="20"/>
          <w:szCs w:val="20"/>
          <w:color w:val="auto"/>
        </w:rPr>
      </w:pPr>
      <w:r>
        <w:rPr>
          <w:rFonts w:ascii="Times New Roman" w:cs="Times New Roman" w:eastAsia="Times New Roman" w:hAnsi="Times New Roman"/>
          <w:sz w:val="13"/>
          <w:szCs w:val="13"/>
          <w:color w:val="auto"/>
        </w:rPr>
        <w:t>Certain legal matters in connection with this offering and the validity of the shares of common stock offered by this prospectus supplement will be passed upon for us by Sullivan &amp; Worcester LLP, New York, New York. DLA Piper LLP (US), New York, New York, is acting as counsel to the Sales Agent in connection with this offering.</w:t>
      </w:r>
    </w:p>
    <w:p>
      <w:pPr>
        <w:spacing w:after="0" w:line="2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8" w:lineRule="exact"/>
        <w:rPr>
          <w:sz w:val="20"/>
          <w:szCs w:val="20"/>
          <w:color w:val="auto"/>
        </w:rPr>
      </w:pPr>
    </w:p>
    <w:p>
      <w:pPr>
        <w:ind w:left="1520" w:right="579"/>
        <w:spacing w:after="0" w:line="272" w:lineRule="auto"/>
        <w:rPr>
          <w:sz w:val="20"/>
          <w:szCs w:val="20"/>
          <w:color w:val="auto"/>
        </w:rPr>
      </w:pPr>
      <w:r>
        <w:rPr>
          <w:rFonts w:ascii="Times New Roman" w:cs="Times New Roman" w:eastAsia="Times New Roman" w:hAnsi="Times New Roman"/>
          <w:sz w:val="13"/>
          <w:szCs w:val="13"/>
          <w:color w:val="auto"/>
        </w:rPr>
        <w:t>The consolidated financial statements of Plus Therapeutics, Inc. (the Company) as of December 31, 2025 and for the year then ended incorporated by reference in this Prospectus and in the Registration Statement have been so incorporated in reliance on the report of CBIZ CPAs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30" w:lineRule="exact"/>
        <w:rPr>
          <w:sz w:val="20"/>
          <w:szCs w:val="20"/>
          <w:color w:val="auto"/>
        </w:rPr>
      </w:pPr>
    </w:p>
    <w:p>
      <w:pPr>
        <w:ind w:left="1520" w:right="579"/>
        <w:spacing w:after="0" w:line="272" w:lineRule="auto"/>
        <w:rPr>
          <w:sz w:val="20"/>
          <w:szCs w:val="20"/>
          <w:color w:val="auto"/>
        </w:rPr>
      </w:pPr>
      <w:r>
        <w:rPr>
          <w:rFonts w:ascii="Times New Roman" w:cs="Times New Roman" w:eastAsia="Times New Roman" w:hAnsi="Times New Roman"/>
          <w:sz w:val="13"/>
          <w:szCs w:val="13"/>
          <w:color w:val="auto"/>
        </w:rPr>
        <w:t>The consolidated financial statements of Plus Therapeutics, Inc. (the Company) as of December 31, 2024 and for the year then ended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7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S-12</w:t>
      </w:r>
    </w:p>
    <w:p>
      <w:pPr>
        <w:sectPr>
          <w:pgSz w:w="11900" w:h="16838" w:orient="portrait"/>
          <w:cols w:equalWidth="0" w:num="1">
            <w:col w:w="10159"/>
          </w:cols>
          <w:pgMar w:left="300" w:top="375"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78" w:lineRule="exact"/>
        <w:rPr>
          <w:sz w:val="20"/>
          <w:szCs w:val="20"/>
          <w:color w:val="auto"/>
        </w:rPr>
      </w:pPr>
    </w:p>
    <w:p>
      <w:pPr>
        <w:ind w:left="1520" w:right="539"/>
        <w:spacing w:after="0" w:line="278" w:lineRule="auto"/>
        <w:rPr>
          <w:sz w:val="20"/>
          <w:szCs w:val="20"/>
          <w:color w:val="auto"/>
        </w:rPr>
      </w:pPr>
      <w:r>
        <w:rPr>
          <w:rFonts w:ascii="Times New Roman" w:cs="Times New Roman" w:eastAsia="Times New Roman" w:hAnsi="Times New Roman"/>
          <w:sz w:val="13"/>
          <w:szCs w:val="13"/>
          <w:color w:val="auto"/>
        </w:rPr>
        <w:t xml:space="preserve">We have filed our registration statement on Form S-3 with the SEC under the Securities Act of 1933, as amended, or the Securities Act. We also file annual, quarterly and current reports, proxy statements and other information with the SEC. You can read and copy any document that we file with the SEC, including the registration statement and exhibits to the registration statement, over the internet at the SEC’s website at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w:t>
      </w:r>
    </w:p>
    <w:p>
      <w:pPr>
        <w:spacing w:after="0" w:line="127" w:lineRule="exact"/>
        <w:rPr>
          <w:sz w:val="20"/>
          <w:szCs w:val="20"/>
          <w:color w:val="auto"/>
        </w:rPr>
      </w:pPr>
    </w:p>
    <w:p>
      <w:pPr>
        <w:ind w:left="1520" w:right="439"/>
        <w:spacing w:after="0" w:line="267" w:lineRule="auto"/>
        <w:rPr>
          <w:sz w:val="20"/>
          <w:szCs w:val="20"/>
          <w:color w:val="auto"/>
        </w:rPr>
      </w:pPr>
      <w:r>
        <w:rPr>
          <w:rFonts w:ascii="Times New Roman" w:cs="Times New Roman" w:eastAsia="Times New Roman" w:hAnsi="Times New Roman"/>
          <w:sz w:val="13"/>
          <w:szCs w:val="13"/>
          <w:color w:val="auto"/>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These documents may also be accessed on our web site at https://ir.plustherapeutics.com/. Information contained on our web site is not incorporated by reference into this prospectus supplement or the accompanying prospectus and you should not consider information contained on our web site to be part of this prospectus supplement or the accompanying prospectus. Information contained on or accessible through our website is not a part of this prospectus supplement, and the inclusion of our website address in this prospectus is an inactive textual reference only.</w:t>
      </w:r>
    </w:p>
    <w:p>
      <w:pPr>
        <w:spacing w:after="0" w:line="133" w:lineRule="exact"/>
        <w:rPr>
          <w:sz w:val="20"/>
          <w:szCs w:val="20"/>
          <w:color w:val="auto"/>
        </w:rPr>
      </w:pPr>
    </w:p>
    <w:p>
      <w:pPr>
        <w:ind w:left="1520" w:right="439"/>
        <w:spacing w:after="0" w:line="272"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are part of a registration statement filed with the SEC and do not contain all of the information in the registration statement. The full registration statement may be obtained from the SEC or us as indicated above. Other documents establishing the terms of the securities offered are filed as exhibits to the registration statement or will be filed through an amendment to our registration statement on Form S-3 or under cover of a Current Report on Form 8-K and incorporated into this prospectus supplement by reference.</w:t>
      </w:r>
    </w:p>
    <w:p>
      <w:pPr>
        <w:spacing w:after="0" w:line="7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S-13</w:t>
      </w:r>
    </w:p>
    <w:p>
      <w:pPr>
        <w:sectPr>
          <w:pgSz w:w="11900" w:h="16838" w:orient="portrait"/>
          <w:cols w:equalWidth="0" w:num="1">
            <w:col w:w="10159"/>
          </w:cols>
          <w:pgMar w:left="300" w:top="375"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INCORPORATION BY REFERENCE</w:t>
      </w:r>
    </w:p>
    <w:p>
      <w:pPr>
        <w:spacing w:after="0" w:line="178" w:lineRule="exact"/>
        <w:rPr>
          <w:sz w:val="20"/>
          <w:szCs w:val="20"/>
          <w:color w:val="auto"/>
        </w:rPr>
      </w:pPr>
    </w:p>
    <w:p>
      <w:pPr>
        <w:ind w:left="1520" w:right="519" w:firstLine="329"/>
        <w:spacing w:after="0" w:line="272" w:lineRule="auto"/>
        <w:rPr>
          <w:sz w:val="20"/>
          <w:szCs w:val="20"/>
          <w:color w:val="auto"/>
        </w:rPr>
      </w:pPr>
      <w:r>
        <w:rPr>
          <w:rFonts w:ascii="Times New Roman" w:cs="Times New Roman" w:eastAsia="Times New Roman" w:hAnsi="Times New Roman"/>
          <w:sz w:val="13"/>
          <w:szCs w:val="13"/>
          <w:color w:val="auto"/>
        </w:rPr>
        <w:t>The SEC permits us to “incorporate by reference” the information contained in documents we have filed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We have filed with the SEC, and incorporate by reference in this prospectus:</w:t>
      </w:r>
    </w:p>
    <w:p>
      <w:pPr>
        <w:spacing w:after="0" w:line="59" w:lineRule="exact"/>
        <w:rPr>
          <w:sz w:val="20"/>
          <w:szCs w:val="20"/>
          <w:color w:val="auto"/>
        </w:rPr>
      </w:pPr>
    </w:p>
    <w:p>
      <w:pPr>
        <w:ind w:left="2260" w:hanging="331"/>
        <w:spacing w:after="0"/>
        <w:tabs>
          <w:tab w:leader="none" w:pos="2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Annual Report on </w:t>
      </w:r>
      <w:hyperlink r:id="rId59">
        <w:r>
          <w:rPr>
            <w:rFonts w:ascii="Times New Roman" w:cs="Times New Roman" w:eastAsia="Times New Roman" w:hAnsi="Times New Roman"/>
            <w:sz w:val="13"/>
            <w:szCs w:val="13"/>
            <w:u w:val="single" w:color="auto"/>
            <w:color w:val="0000EE"/>
          </w:rPr>
          <w:t>Form 10-K</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year ended December 31, 2025 (filed with the SEC on March 12, 2026);</w:t>
      </w:r>
    </w:p>
    <w:p>
      <w:pPr>
        <w:spacing w:after="0" w:line="102" w:lineRule="exact"/>
        <w:rPr>
          <w:rFonts w:ascii="Times New Roman" w:cs="Times New Roman" w:eastAsia="Times New Roman" w:hAnsi="Times New Roman"/>
          <w:sz w:val="13"/>
          <w:szCs w:val="13"/>
          <w:color w:val="auto"/>
        </w:rPr>
      </w:pPr>
    </w:p>
    <w:p>
      <w:pPr>
        <w:ind w:left="2260" w:hanging="331"/>
        <w:spacing w:after="0"/>
        <w:tabs>
          <w:tab w:leader="none" w:pos="2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Quarterly Report on </w:t>
      </w:r>
      <w:hyperlink r:id="rId60">
        <w:r>
          <w:rPr>
            <w:rFonts w:ascii="Times New Roman" w:cs="Times New Roman" w:eastAsia="Times New Roman" w:hAnsi="Times New Roman"/>
            <w:sz w:val="13"/>
            <w:szCs w:val="13"/>
            <w:u w:val="single" w:color="auto"/>
            <w:color w:val="0000EE"/>
          </w:rPr>
          <w:t>Form 10-Q</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quarter ended March 31, 2026 (filed with the SEC on May 15, 2026);</w:t>
      </w:r>
    </w:p>
    <w:p>
      <w:pPr>
        <w:spacing w:after="0" w:line="102" w:lineRule="exact"/>
        <w:rPr>
          <w:rFonts w:ascii="Times New Roman" w:cs="Times New Roman" w:eastAsia="Times New Roman" w:hAnsi="Times New Roman"/>
          <w:sz w:val="13"/>
          <w:szCs w:val="13"/>
          <w:color w:val="auto"/>
        </w:rPr>
      </w:pPr>
    </w:p>
    <w:p>
      <w:pPr>
        <w:ind w:left="2260" w:right="499" w:hanging="331"/>
        <w:spacing w:after="0" w:line="271" w:lineRule="auto"/>
        <w:tabs>
          <w:tab w:leader="none" w:pos="2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Current Reports on Form 8-K filed with the SEC on </w:t>
      </w:r>
      <w:hyperlink r:id="rId61">
        <w:r>
          <w:rPr>
            <w:rFonts w:ascii="Times New Roman" w:cs="Times New Roman" w:eastAsia="Times New Roman" w:hAnsi="Times New Roman"/>
            <w:sz w:val="13"/>
            <w:szCs w:val="13"/>
            <w:u w:val="single" w:color="auto"/>
            <w:color w:val="0000EE"/>
          </w:rPr>
          <w:t>January 16, 2026</w:t>
        </w:r>
      </w:hyperlink>
      <w:r>
        <w:rPr>
          <w:rFonts w:ascii="Times New Roman" w:cs="Times New Roman" w:eastAsia="Times New Roman" w:hAnsi="Times New Roman"/>
          <w:sz w:val="13"/>
          <w:szCs w:val="13"/>
          <w:color w:val="auto"/>
        </w:rPr>
        <w:t xml:space="preserve">, </w:t>
      </w:r>
      <w:hyperlink r:id="rId62">
        <w:r>
          <w:rPr>
            <w:rFonts w:ascii="Times New Roman" w:cs="Times New Roman" w:eastAsia="Times New Roman" w:hAnsi="Times New Roman"/>
            <w:sz w:val="13"/>
            <w:szCs w:val="13"/>
            <w:u w:val="single" w:color="auto"/>
            <w:color w:val="0000EE"/>
          </w:rPr>
          <w:t>January 22, 2026</w:t>
        </w:r>
      </w:hyperlink>
      <w:r>
        <w:rPr>
          <w:rFonts w:ascii="Times New Roman" w:cs="Times New Roman" w:eastAsia="Times New Roman" w:hAnsi="Times New Roman"/>
          <w:sz w:val="13"/>
          <w:szCs w:val="13"/>
          <w:color w:val="auto"/>
        </w:rPr>
        <w:t xml:space="preserve">, </w:t>
      </w:r>
      <w:hyperlink r:id="rId63">
        <w:r>
          <w:rPr>
            <w:rFonts w:ascii="Times New Roman" w:cs="Times New Roman" w:eastAsia="Times New Roman" w:hAnsi="Times New Roman"/>
            <w:sz w:val="13"/>
            <w:szCs w:val="13"/>
            <w:u w:val="single" w:color="auto"/>
            <w:color w:val="0000EE"/>
          </w:rPr>
          <w:t>February 13, 2026</w:t>
        </w:r>
      </w:hyperlink>
      <w:r>
        <w:rPr>
          <w:rFonts w:ascii="Times New Roman" w:cs="Times New Roman" w:eastAsia="Times New Roman" w:hAnsi="Times New Roman"/>
          <w:sz w:val="13"/>
          <w:szCs w:val="13"/>
          <w:color w:val="auto"/>
        </w:rPr>
        <w:t xml:space="preserve">, </w:t>
      </w:r>
      <w:hyperlink r:id="rId64">
        <w:r>
          <w:rPr>
            <w:rFonts w:ascii="Times New Roman" w:cs="Times New Roman" w:eastAsia="Times New Roman" w:hAnsi="Times New Roman"/>
            <w:sz w:val="13"/>
            <w:szCs w:val="13"/>
            <w:u w:val="single" w:color="auto"/>
            <w:color w:val="0000EE"/>
          </w:rPr>
          <w:t>March 12, 2026</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(the second Current Report on Form 8-K filed on such date), </w:t>
      </w:r>
      <w:hyperlink r:id="rId65">
        <w:r>
          <w:rPr>
            <w:rFonts w:ascii="Times New Roman" w:cs="Times New Roman" w:eastAsia="Times New Roman" w:hAnsi="Times New Roman"/>
            <w:sz w:val="13"/>
            <w:szCs w:val="13"/>
            <w:u w:val="single" w:color="auto"/>
            <w:color w:val="0000EE"/>
          </w:rPr>
          <w:t>March 26, 2026</w:t>
        </w:r>
      </w:hyperlink>
      <w:r>
        <w:rPr>
          <w:rFonts w:ascii="Times New Roman" w:cs="Times New Roman" w:eastAsia="Times New Roman" w:hAnsi="Times New Roman"/>
          <w:sz w:val="13"/>
          <w:szCs w:val="13"/>
          <w:color w:val="auto"/>
        </w:rPr>
        <w:t xml:space="preserve">, </w:t>
      </w:r>
      <w:hyperlink r:id="rId66">
        <w:r>
          <w:rPr>
            <w:rFonts w:ascii="Times New Roman" w:cs="Times New Roman" w:eastAsia="Times New Roman" w:hAnsi="Times New Roman"/>
            <w:sz w:val="13"/>
            <w:szCs w:val="13"/>
            <w:u w:val="single" w:color="auto"/>
            <w:color w:val="0000EE"/>
          </w:rPr>
          <w:t>April 2, 2026</w:t>
        </w:r>
      </w:hyperlink>
      <w:r>
        <w:rPr>
          <w:rFonts w:ascii="Times New Roman" w:cs="Times New Roman" w:eastAsia="Times New Roman" w:hAnsi="Times New Roman"/>
          <w:sz w:val="13"/>
          <w:szCs w:val="13"/>
          <w:color w:val="auto"/>
        </w:rPr>
        <w:t xml:space="preserve">, </w:t>
      </w:r>
      <w:hyperlink r:id="rId67">
        <w:r>
          <w:rPr>
            <w:rFonts w:ascii="Times New Roman" w:cs="Times New Roman" w:eastAsia="Times New Roman" w:hAnsi="Times New Roman"/>
            <w:sz w:val="13"/>
            <w:szCs w:val="13"/>
            <w:u w:val="single" w:color="auto"/>
            <w:color w:val="0000EE"/>
          </w:rPr>
          <w:t>April 8, 2026</w:t>
        </w:r>
      </w:hyperlink>
      <w:r>
        <w:rPr>
          <w:rFonts w:ascii="Times New Roman" w:cs="Times New Roman" w:eastAsia="Times New Roman" w:hAnsi="Times New Roman"/>
          <w:sz w:val="13"/>
          <w:szCs w:val="13"/>
          <w:color w:val="auto"/>
        </w:rPr>
        <w:t xml:space="preserve">, </w:t>
      </w:r>
      <w:hyperlink r:id="rId68">
        <w:r>
          <w:rPr>
            <w:rFonts w:ascii="Times New Roman" w:cs="Times New Roman" w:eastAsia="Times New Roman" w:hAnsi="Times New Roman"/>
            <w:sz w:val="13"/>
            <w:szCs w:val="13"/>
            <w:u w:val="single" w:color="auto"/>
            <w:color w:val="0000EE"/>
          </w:rPr>
          <w:t>April 9, 2026</w:t>
        </w:r>
      </w:hyperlink>
      <w:r>
        <w:rPr>
          <w:rFonts w:ascii="Times New Roman" w:cs="Times New Roman" w:eastAsia="Times New Roman" w:hAnsi="Times New Roman"/>
          <w:sz w:val="13"/>
          <w:szCs w:val="13"/>
          <w:color w:val="auto"/>
        </w:rPr>
        <w:t xml:space="preserve">, </w:t>
      </w:r>
      <w:hyperlink r:id="rId69">
        <w:r>
          <w:rPr>
            <w:rFonts w:ascii="Times New Roman" w:cs="Times New Roman" w:eastAsia="Times New Roman" w:hAnsi="Times New Roman"/>
            <w:sz w:val="13"/>
            <w:szCs w:val="13"/>
            <w:u w:val="single" w:color="auto"/>
            <w:color w:val="0000EE"/>
          </w:rPr>
          <w:t>April 21, 2026</w:t>
        </w:r>
      </w:hyperlink>
      <w:r>
        <w:rPr>
          <w:rFonts w:ascii="Times New Roman" w:cs="Times New Roman" w:eastAsia="Times New Roman" w:hAnsi="Times New Roman"/>
          <w:sz w:val="13"/>
          <w:szCs w:val="13"/>
          <w:color w:val="auto"/>
        </w:rPr>
        <w:t xml:space="preserve"> and </w:t>
      </w:r>
      <w:hyperlink r:id="rId70">
        <w:r>
          <w:rPr>
            <w:rFonts w:ascii="Times New Roman" w:cs="Times New Roman" w:eastAsia="Times New Roman" w:hAnsi="Times New Roman"/>
            <w:sz w:val="13"/>
            <w:szCs w:val="13"/>
            <w:u w:val="single" w:color="auto"/>
            <w:color w:val="0000EE"/>
          </w:rPr>
          <w:t>May 15, 2026</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(the second Current Report on Form 8-K filed on such date) (except for Item 2.02 and Item 7.01 of any Current Report on Form 8-K which are not deemed “filed” for purposes of Section 18 of the Exchange Act and are not incorporated by reference in this prospectus); and</w:t>
      </w:r>
    </w:p>
    <w:p>
      <w:pPr>
        <w:spacing w:after="0" w:line="223" w:lineRule="exact"/>
        <w:rPr>
          <w:rFonts w:ascii="Times New Roman" w:cs="Times New Roman" w:eastAsia="Times New Roman" w:hAnsi="Times New Roman"/>
          <w:sz w:val="13"/>
          <w:szCs w:val="13"/>
          <w:color w:val="auto"/>
        </w:rPr>
      </w:pPr>
    </w:p>
    <w:p>
      <w:pPr>
        <w:ind w:left="2260" w:right="439" w:hanging="331"/>
        <w:spacing w:after="0" w:line="298" w:lineRule="auto"/>
        <w:tabs>
          <w:tab w:leader="none" w:pos="2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common stock contained in </w:t>
      </w:r>
      <w:hyperlink r:id="rId71">
        <w:r>
          <w:rPr>
            <w:rFonts w:ascii="Times New Roman" w:cs="Times New Roman" w:eastAsia="Times New Roman" w:hAnsi="Times New Roman"/>
            <w:sz w:val="13"/>
            <w:szCs w:val="13"/>
            <w:u w:val="single" w:color="auto"/>
            <w:color w:val="0000EE"/>
          </w:rPr>
          <w:t>Exhibit 4.1</w:t>
        </w:r>
      </w:hyperlink>
      <w:r>
        <w:rPr>
          <w:rFonts w:ascii="Times New Roman" w:cs="Times New Roman" w:eastAsia="Times New Roman" w:hAnsi="Times New Roman"/>
          <w:sz w:val="13"/>
          <w:szCs w:val="13"/>
          <w:color w:val="auto"/>
        </w:rPr>
        <w:t>—Description of Securities to our Annual Report on Form 10-K for the fiscal year ended December 31, 2025, filed with the SEC on March 12, 2026.</w:t>
      </w:r>
    </w:p>
    <w:p>
      <w:pPr>
        <w:spacing w:after="0" w:line="113" w:lineRule="exact"/>
        <w:rPr>
          <w:rFonts w:ascii="Times New Roman" w:cs="Times New Roman" w:eastAsia="Times New Roman" w:hAnsi="Times New Roman"/>
          <w:sz w:val="13"/>
          <w:szCs w:val="13"/>
          <w:color w:val="auto"/>
        </w:rPr>
      </w:pPr>
    </w:p>
    <w:p>
      <w:pPr>
        <w:ind w:left="1520" w:right="679" w:firstLine="329"/>
        <w:spacing w:after="0" w:line="298" w:lineRule="auto"/>
        <w:rPr>
          <w:sz w:val="20"/>
          <w:szCs w:val="20"/>
          <w:color w:val="auto"/>
        </w:rPr>
      </w:pPr>
      <w:r>
        <w:rPr>
          <w:rFonts w:ascii="Times New Roman" w:cs="Times New Roman" w:eastAsia="Times New Roman" w:hAnsi="Times New Roman"/>
          <w:sz w:val="13"/>
          <w:szCs w:val="13"/>
          <w:color w:val="auto"/>
        </w:rPr>
        <w:t>We are not, however, incorporating, in each case, any documents or information that we are deemed to furnish and not file in accordance with SEC rules.</w:t>
      </w:r>
    </w:p>
    <w:p>
      <w:pPr>
        <w:spacing w:after="0" w:line="113" w:lineRule="exact"/>
        <w:rPr>
          <w:rFonts w:ascii="Times New Roman" w:cs="Times New Roman" w:eastAsia="Times New Roman" w:hAnsi="Times New Roman"/>
          <w:sz w:val="13"/>
          <w:szCs w:val="13"/>
          <w:color w:val="auto"/>
        </w:rPr>
      </w:pPr>
    </w:p>
    <w:p>
      <w:pPr>
        <w:ind w:left="1520" w:right="719" w:firstLine="329"/>
        <w:spacing w:after="0" w:line="278" w:lineRule="auto"/>
        <w:rPr>
          <w:sz w:val="20"/>
          <w:szCs w:val="20"/>
          <w:color w:val="auto"/>
        </w:rPr>
      </w:pPr>
      <w:r>
        <w:rPr>
          <w:rFonts w:ascii="Times New Roman" w:cs="Times New Roman" w:eastAsia="Times New Roman" w:hAnsi="Times New Roman"/>
          <w:sz w:val="13"/>
          <w:szCs w:val="13"/>
          <w:color w:val="auto"/>
        </w:rPr>
        <w:t>Any statement contained in any document incorporated by reference herein will be deemed to be modified or superseded for purposes of this prospectus to the extent that a statement contained in this prospectus or any prospectus supplement modifies or supersedes such statement. Any statement so modified or superseded will not be deemed, except as so modified or superseded, to constitute a part of this prospectus.</w:t>
      </w:r>
    </w:p>
    <w:p>
      <w:pPr>
        <w:spacing w:after="0" w:line="127" w:lineRule="exact"/>
        <w:rPr>
          <w:rFonts w:ascii="Times New Roman" w:cs="Times New Roman" w:eastAsia="Times New Roman" w:hAnsi="Times New Roman"/>
          <w:sz w:val="13"/>
          <w:szCs w:val="13"/>
          <w:color w:val="auto"/>
        </w:rPr>
      </w:pPr>
    </w:p>
    <w:p>
      <w:pPr>
        <w:ind w:left="1520" w:right="459" w:firstLine="329"/>
        <w:spacing w:after="0" w:line="272" w:lineRule="auto"/>
        <w:rPr>
          <w:sz w:val="20"/>
          <w:szCs w:val="20"/>
          <w:color w:val="auto"/>
        </w:rPr>
      </w:pPr>
      <w:r>
        <w:rPr>
          <w:rFonts w:ascii="Times New Roman" w:cs="Times New Roman" w:eastAsia="Times New Roman" w:hAnsi="Times New Roman"/>
          <w:sz w:val="13"/>
          <w:szCs w:val="13"/>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30" w:lineRule="exact"/>
        <w:rPr>
          <w:rFonts w:ascii="Times New Roman" w:cs="Times New Roman" w:eastAsia="Times New Roman" w:hAnsi="Times New Roman"/>
          <w:sz w:val="13"/>
          <w:szCs w:val="13"/>
          <w:color w:val="auto"/>
        </w:rPr>
      </w:pPr>
    </w:p>
    <w:p>
      <w:pPr>
        <w:ind w:left="1520" w:right="399" w:firstLine="329"/>
        <w:spacing w:after="0" w:line="264" w:lineRule="auto"/>
        <w:rPr>
          <w:sz w:val="20"/>
          <w:szCs w:val="20"/>
          <w:color w:val="auto"/>
        </w:rPr>
      </w:pPr>
      <w:r>
        <w:rPr>
          <w:rFonts w:ascii="Times New Roman" w:cs="Times New Roman" w:eastAsia="Times New Roman" w:hAnsi="Times New Roman"/>
          <w:sz w:val="13"/>
          <w:szCs w:val="13"/>
          <w:color w:val="auto"/>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oral or written requests by one of the following methods. Attention: Investor Relations, Plus Therapeutics, Inc., 6420 Levit Green Boulevard, Suite 310, Houston, Texas 77021, (737) 255-7194. You may also access these documents, free of charge on the SEC’s website at www.sec.gov or on the “Investors” page of our website at www.plustherapeutics.com. The information found on our website, or that may be accessed by links on our website, is not part of this prospectus. We have included our website address solely as an inactive textual reference. Investors should not rely on any such information in deciding whether to purchase our common stock.</w:t>
      </w:r>
    </w:p>
    <w:p>
      <w:pPr>
        <w:spacing w:after="0" w:line="360" w:lineRule="exact"/>
        <w:rPr>
          <w:rFonts w:ascii="Times New Roman" w:cs="Times New Roman" w:eastAsia="Times New Roman" w:hAnsi="Times New Roman"/>
          <w:sz w:val="13"/>
          <w:szCs w:val="13"/>
          <w:color w:val="auto"/>
        </w:rPr>
      </w:pPr>
    </w:p>
    <w:p>
      <w:pPr>
        <w:ind w:left="5520"/>
        <w:spacing w:after="0"/>
        <w:rPr>
          <w:sz w:val="20"/>
          <w:szCs w:val="20"/>
          <w:color w:val="auto"/>
        </w:rPr>
      </w:pPr>
      <w:r>
        <w:rPr>
          <w:rFonts w:ascii="Times New Roman" w:cs="Times New Roman" w:eastAsia="Times New Roman" w:hAnsi="Times New Roman"/>
          <w:sz w:val="13"/>
          <w:szCs w:val="13"/>
          <w:color w:val="auto"/>
        </w:rPr>
        <w:t>S-14</w:t>
      </w:r>
    </w:p>
    <w:p>
      <w:pPr>
        <w:sectPr>
          <w:pgSz w:w="11900" w:h="16838" w:orient="portrait"/>
          <w:cols w:equalWidth="0" w:num="1">
            <w:col w:w="10159"/>
          </w:cols>
          <w:pgMar w:left="300" w:top="375"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184785</wp:posOffset>
            </wp:positionV>
            <wp:extent cx="5231130"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5231130" cy="12700"/>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223520</wp:posOffset>
            </wp:positionV>
            <wp:extent cx="523113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1435100</wp:posOffset>
            </wp:positionV>
            <wp:extent cx="1166495" cy="397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1166495" cy="397510"/>
                    </a:xfrm>
                    <a:prstGeom prst="rect">
                      <a:avLst/>
                    </a:prstGeom>
                    <a:noFill/>
                  </pic:spPr>
                </pic:pic>
              </a:graphicData>
            </a:graphic>
          </wp:anchor>
        </w:drawing>
      </w:r>
    </w:p>
    <w:p>
      <w:pPr>
        <w:sectPr>
          <w:pgSz w:w="11900" w:h="16838" w:orient="portrait"/>
          <w:cols w:equalWidth="0" w:num="1">
            <w:col w:w="10159"/>
          </w:cols>
          <w:pgMar w:left="300" w:top="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Up to $17,350,000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1259840</wp:posOffset>
            </wp:positionV>
            <wp:extent cx="110236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11023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Canaccord Genuity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190500</wp:posOffset>
            </wp:positionV>
            <wp:extent cx="110236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11023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b w:val="1"/>
          <w:bCs w:val="1"/>
          <w:color w:val="auto"/>
        </w:rPr>
        <w:t>The date of this prospectus supplement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332105</wp:posOffset>
            </wp:positionV>
            <wp:extent cx="523113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377190</wp:posOffset>
            </wp:positionV>
            <wp:extent cx="5231130"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5231130" cy="12700"/>
                    </a:xfrm>
                    <a:prstGeom prst="rect">
                      <a:avLst/>
                    </a:prstGeom>
                    <a:noFill/>
                  </pic:spPr>
                </pic:pic>
              </a:graphicData>
            </a:graphic>
          </wp:anchor>
        </w:drawing>
      </w:r>
    </w:p>
    <w:p>
      <w:pPr>
        <w:sectPr>
          <w:pgSz w:w="11900" w:h="16838" w:orient="portrait"/>
          <w:cols w:equalWidth="0" w:num="1">
            <w:col w:w="10159"/>
          </w:cols>
          <w:pgMar w:left="300" w:top="375" w:right="1440"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INFORMATION NOT REQUIRED IN THE PROSPECTUS</w:t>
      </w:r>
    </w:p>
    <w:p>
      <w:pPr>
        <w:spacing w:after="0" w:line="15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Item 14. Other Expenses of Issuance and Distribution.</w:t>
      </w:r>
    </w:p>
    <w:p>
      <w:pPr>
        <w:spacing w:after="0" w:line="97" w:lineRule="exact"/>
        <w:rPr>
          <w:sz w:val="20"/>
          <w:szCs w:val="20"/>
          <w:color w:val="auto"/>
        </w:rPr>
      </w:pPr>
    </w:p>
    <w:p>
      <w:pPr>
        <w:jc w:val="both"/>
        <w:ind w:left="1520" w:right="559"/>
        <w:spacing w:after="0" w:line="278" w:lineRule="auto"/>
        <w:rPr>
          <w:sz w:val="20"/>
          <w:szCs w:val="20"/>
          <w:color w:val="auto"/>
        </w:rPr>
      </w:pPr>
      <w:r>
        <w:rPr>
          <w:rFonts w:ascii="Times New Roman" w:cs="Times New Roman" w:eastAsia="Times New Roman" w:hAnsi="Times New Roman"/>
          <w:sz w:val="13"/>
          <w:szCs w:val="13"/>
          <w:color w:val="auto"/>
        </w:rPr>
        <w:t>Set forth below is an estimate (except in the case of the SEC registration fee) of the amount of fees and expenses to be incurred in connection with the issuance and distribution of the offered securities registered hereby, other than underwriting discounts and commission, if any, incurred in connection with the sale of the offered securities. All such amounts will be borne by Plus Therapeutics, Inc.</w:t>
      </w:r>
    </w:p>
    <w:p>
      <w:pPr>
        <w:spacing w:after="0" w:line="125" w:lineRule="exact"/>
        <w:rPr>
          <w:sz w:val="20"/>
          <w:szCs w:val="20"/>
          <w:color w:val="auto"/>
        </w:rPr>
      </w:pPr>
    </w:p>
    <w:tbl>
      <w:tblPr>
        <w:tblLayout w:type="fixed"/>
        <w:tblInd w:w="28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 to</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2"/>
              </w:rPr>
              <w:t>be paid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SEC registration fee</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3"/>
                <w:szCs w:val="13"/>
                <w:color w:val="auto"/>
              </w:rPr>
              <w:t>FINRA filing fee</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Printing expenses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3"/>
                <w:szCs w:val="13"/>
                <w:color w:val="auto"/>
              </w:rPr>
              <w:t>Accounting fees and expenses</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Legal fees and expenses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3"/>
                <w:szCs w:val="13"/>
                <w:color w:val="auto"/>
              </w:rPr>
              <w:t>Miscellaneous</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840" w:hanging="315"/>
        <w:spacing w:after="0"/>
        <w:tabs>
          <w:tab w:leader="none" w:pos="1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fees are calculated based on the securities offered and the number of issuances and accordingly cannot be estimated at this time.</w:t>
      </w:r>
    </w:p>
    <w:p>
      <w:pPr>
        <w:spacing w:after="0" w:line="2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Item 15. Indemnification of Directors and Officers.</w:t>
      </w:r>
    </w:p>
    <w:p>
      <w:pPr>
        <w:spacing w:after="0" w:line="97" w:lineRule="exact"/>
        <w:rPr>
          <w:sz w:val="20"/>
          <w:szCs w:val="20"/>
          <w:color w:val="auto"/>
        </w:rPr>
      </w:pPr>
    </w:p>
    <w:p>
      <w:pPr>
        <w:ind w:left="1520" w:right="399"/>
        <w:spacing w:after="0" w:line="264" w:lineRule="auto"/>
        <w:rPr>
          <w:sz w:val="20"/>
          <w:szCs w:val="20"/>
          <w:color w:val="auto"/>
        </w:rPr>
      </w:pPr>
      <w:r>
        <w:rPr>
          <w:rFonts w:ascii="Times New Roman" w:cs="Times New Roman" w:eastAsia="Times New Roman" w:hAnsi="Times New Roman"/>
          <w:sz w:val="13"/>
          <w:szCs w:val="13"/>
          <w:color w:val="auto"/>
        </w:rPr>
        <w:t>The Company is a Delaware corporation. Section 145(a) of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w:t>
      </w:r>
    </w:p>
    <w:p>
      <w:pPr>
        <w:spacing w:after="0" w:line="138" w:lineRule="exact"/>
        <w:rPr>
          <w:sz w:val="20"/>
          <w:szCs w:val="20"/>
          <w:color w:val="auto"/>
        </w:rPr>
      </w:pPr>
    </w:p>
    <w:p>
      <w:pPr>
        <w:ind w:left="1520" w:right="459"/>
        <w:spacing w:after="0" w:line="264" w:lineRule="auto"/>
        <w:rPr>
          <w:sz w:val="20"/>
          <w:szCs w:val="20"/>
          <w:color w:val="auto"/>
        </w:rPr>
      </w:pPr>
      <w:r>
        <w:rPr>
          <w:rFonts w:ascii="Times New Roman" w:cs="Times New Roman" w:eastAsia="Times New Roman" w:hAnsi="Times New Roman"/>
          <w:sz w:val="13"/>
          <w:szCs w:val="13"/>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3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Further subsections of DGCL Section 145 provide that:</w:t>
      </w:r>
    </w:p>
    <w:p>
      <w:pPr>
        <w:spacing w:after="0" w:line="103" w:lineRule="exact"/>
        <w:rPr>
          <w:sz w:val="20"/>
          <w:szCs w:val="20"/>
          <w:color w:val="auto"/>
        </w:rPr>
      </w:pPr>
    </w:p>
    <w:p>
      <w:pPr>
        <w:ind w:left="1840" w:right="399" w:hanging="315"/>
        <w:spacing w:after="0" w:line="278" w:lineRule="auto"/>
        <w:tabs>
          <w:tab w:leader="none" w:pos="1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a present or former director or officer of a corporation has been successful on the merits or otherwise in the defense of any action, suit or proceeding referred to in subsections (i) and (ii) of Section 145 or in the defense of any claim, issue or matter therein, such person shall be indemnified against</w:t>
      </w:r>
    </w:p>
    <w:p>
      <w:pPr>
        <w:spacing w:after="0" w:line="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II-1</w:t>
      </w:r>
    </w:p>
    <w:p>
      <w:pPr>
        <w:sectPr>
          <w:pgSz w:w="11900" w:h="16838" w:orient="portrait"/>
          <w:cols w:equalWidth="0" w:num="1">
            <w:col w:w="10159"/>
          </w:cols>
          <w:pgMar w:left="300" w:top="375"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color w:val="auto"/>
        </w:rPr>
        <w:t>expenses, including attorneys’ fees, actually and reasonably incurred by such person in connection therewith;</w:t>
      </w:r>
    </w:p>
    <w:p>
      <w:pPr>
        <w:spacing w:after="0" w:line="103" w:lineRule="exact"/>
        <w:rPr>
          <w:sz w:val="20"/>
          <w:szCs w:val="20"/>
          <w:color w:val="auto"/>
        </w:rPr>
      </w:pPr>
    </w:p>
    <w:p>
      <w:pPr>
        <w:ind w:left="1840" w:right="439" w:hanging="315"/>
        <w:spacing w:after="0" w:line="278" w:lineRule="auto"/>
        <w:tabs>
          <w:tab w:leader="none" w:pos="18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p>
    <w:p>
      <w:pPr>
        <w:spacing w:after="0" w:line="55" w:lineRule="exact"/>
        <w:rPr>
          <w:rFonts w:ascii="Times New Roman" w:cs="Times New Roman" w:eastAsia="Times New Roman" w:hAnsi="Times New Roman"/>
          <w:sz w:val="13"/>
          <w:szCs w:val="13"/>
          <w:color w:val="auto"/>
        </w:rPr>
      </w:pPr>
    </w:p>
    <w:p>
      <w:pPr>
        <w:ind w:left="1840" w:right="659" w:hanging="315"/>
        <w:spacing w:after="0" w:line="269" w:lineRule="auto"/>
        <w:tabs>
          <w:tab w:leader="none" w:pos="18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corporation shall have the power to purchase and maintain insurance of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31" w:lineRule="exact"/>
        <w:rPr>
          <w:sz w:val="20"/>
          <w:szCs w:val="20"/>
          <w:color w:val="auto"/>
        </w:rPr>
      </w:pPr>
    </w:p>
    <w:p>
      <w:pPr>
        <w:ind w:left="1520" w:right="499"/>
        <w:spacing w:after="0" w:line="298" w:lineRule="auto"/>
        <w:rPr>
          <w:sz w:val="20"/>
          <w:szCs w:val="20"/>
          <w:color w:val="auto"/>
        </w:rPr>
      </w:pPr>
      <w:r>
        <w:rPr>
          <w:rFonts w:ascii="Times New Roman" w:cs="Times New Roman" w:eastAsia="Times New Roman" w:hAnsi="Times New Roman"/>
          <w:sz w:val="13"/>
          <w:szCs w:val="13"/>
          <w:color w:val="auto"/>
        </w:rPr>
        <w:t>As used in this Item 14, the term “proceeding” means any threatened, pending or completed action, suit or proceeding, whether or not by or in the right of the Company, and whether civil, criminal, administrative, investigative or otherwise.</w:t>
      </w:r>
    </w:p>
    <w:p>
      <w:pPr>
        <w:spacing w:after="0" w:line="113" w:lineRule="exact"/>
        <w:rPr>
          <w:sz w:val="20"/>
          <w:szCs w:val="20"/>
          <w:color w:val="auto"/>
        </w:rPr>
      </w:pPr>
    </w:p>
    <w:p>
      <w:pPr>
        <w:ind w:left="1520" w:right="419"/>
        <w:spacing w:after="0" w:line="261" w:lineRule="auto"/>
        <w:rPr>
          <w:sz w:val="20"/>
          <w:szCs w:val="20"/>
          <w:color w:val="auto"/>
        </w:rPr>
      </w:pPr>
      <w:r>
        <w:rPr>
          <w:rFonts w:ascii="Times New Roman" w:cs="Times New Roman" w:eastAsia="Times New Roman" w:hAnsi="Times New Roman"/>
          <w:sz w:val="13"/>
          <w:szCs w:val="13"/>
          <w:color w:val="auto"/>
        </w:rPr>
        <w:t>Section 145 of the DGCL makes provision for the indemnification of officers and directors in terms sufficiently broad to indemnify officers and directors of the Company under certain circumstances from liabilities (including reimbursement for expenses incurred) arising under the Securities Act. The Company’s organizational documents provide, in effect, that, to the fullest extent and under the circumstances permitted by Section 145 of the DGCL, the Company will indemnify any and all of its officers and directors. The Company has entered into indemnification agreements with its officers and directors. The Company may, in its discretion, similarly indemnify its employees and agents. The Company’s Charter also relieves its directors from monetary damages to the Company or its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 (ii) for failure to act in good faith,</w:t>
      </w:r>
    </w:p>
    <w:p>
      <w:pPr>
        <w:spacing w:after="0" w:line="4" w:lineRule="exact"/>
        <w:rPr>
          <w:sz w:val="20"/>
          <w:szCs w:val="20"/>
          <w:color w:val="auto"/>
        </w:rPr>
      </w:pPr>
    </w:p>
    <w:p>
      <w:pPr>
        <w:ind w:left="1520" w:right="559" w:firstLine="5"/>
        <w:spacing w:after="0" w:line="259" w:lineRule="auto"/>
        <w:tabs>
          <w:tab w:leader="none" w:pos="1755"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intentional misconduct or knowing violation of law, (iv) for willful or negligent violations of certain provisions in the DGCL imposing certain requirements with respect to stock repurchases, redemptions and dividends or</w:t>
      </w:r>
    </w:p>
    <w:p>
      <w:pPr>
        <w:ind w:left="1720" w:hanging="195"/>
        <w:spacing w:after="0"/>
        <w:tabs>
          <w:tab w:leader="none" w:pos="17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any transactions from which the director derived an improper personal benefit.</w:t>
      </w:r>
    </w:p>
    <w:p>
      <w:pPr>
        <w:spacing w:after="0" w:line="161" w:lineRule="exact"/>
        <w:rPr>
          <w:sz w:val="20"/>
          <w:szCs w:val="20"/>
          <w:color w:val="auto"/>
        </w:rPr>
      </w:pPr>
    </w:p>
    <w:p>
      <w:pPr>
        <w:jc w:val="both"/>
        <w:ind w:left="1520" w:right="819"/>
        <w:spacing w:after="0" w:line="278" w:lineRule="auto"/>
        <w:rPr>
          <w:sz w:val="20"/>
          <w:szCs w:val="20"/>
          <w:color w:val="auto"/>
        </w:rPr>
      </w:pPr>
      <w:r>
        <w:rPr>
          <w:rFonts w:ascii="Times New Roman" w:cs="Times New Roman" w:eastAsia="Times New Roman" w:hAnsi="Times New Roman"/>
          <w:sz w:val="13"/>
          <w:szCs w:val="13"/>
          <w:color w:val="auto"/>
        </w:rPr>
        <w:t>The Company has purchased insurance policies that, within the limits and subject to the terms and conditions thereof, cover certain expenses and liabilities that may be incurred by directors and officers in connection with proceedings that may be brought against them as a result of an act or omission committed or suffered while acting as a director or officer of the Company.</w:t>
      </w:r>
    </w:p>
    <w:p>
      <w:pPr>
        <w:spacing w:after="0" w:line="127" w:lineRule="exact"/>
        <w:rPr>
          <w:sz w:val="20"/>
          <w:szCs w:val="20"/>
          <w:color w:val="auto"/>
        </w:rPr>
      </w:pPr>
    </w:p>
    <w:p>
      <w:pPr>
        <w:ind w:left="1520" w:right="419"/>
        <w:spacing w:after="0" w:line="278" w:lineRule="auto"/>
        <w:rPr>
          <w:sz w:val="20"/>
          <w:szCs w:val="20"/>
          <w:color w:val="auto"/>
        </w:rPr>
      </w:pPr>
      <w:r>
        <w:rPr>
          <w:rFonts w:ascii="Times New Roman" w:cs="Times New Roman" w:eastAsia="Times New Roman" w:hAnsi="Times New Roman"/>
          <w:sz w:val="13"/>
          <w:szCs w:val="13"/>
          <w:color w:val="auto"/>
        </w:rPr>
        <w:t>We have entered into a registration rights agreement with the stockholders of the shares of common stock registered hereby which obligates the parties to indemnify, under certain circumstances, the other party, its officers, directors, and controlling persons within the meaning of the Securities Act against certain liabilities.</w:t>
      </w:r>
    </w:p>
    <w:p>
      <w:pPr>
        <w:spacing w:after="0" w:line="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II-2</w:t>
      </w:r>
    </w:p>
    <w:p>
      <w:pPr>
        <w:sectPr>
          <w:pgSz w:w="11900" w:h="16838" w:orient="portrait"/>
          <w:cols w:equalWidth="0" w:num="1">
            <w:col w:w="10159"/>
          </w:cols>
          <w:pgMar w:left="300" w:top="375"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Item 16. Exhibits and Financial Statement Schedules.</w:t>
      </w:r>
    </w:p>
    <w:p>
      <w:pPr>
        <w:spacing w:after="0" w:line="176"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2"/>
              </w:rPr>
              <w:t>Filed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6"/>
              </w:rPr>
              <w:t>with</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0" w:type="dxa"/>
            <w:vAlign w:val="bottom"/>
          </w:tcPr>
          <w:p>
            <w:pPr>
              <w:spacing w:after="0"/>
              <w:rPr>
                <w:sz w:val="1"/>
                <w:szCs w:val="1"/>
                <w:color w:val="auto"/>
              </w:rPr>
            </w:pPr>
          </w:p>
        </w:tc>
      </w:tr>
      <w:tr>
        <w:trPr>
          <w:trHeight w:val="59"/>
        </w:trPr>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gridSpan w:val="2"/>
            <w:vMerge w:val="restart"/>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rPr>
              <w:t>this</w:t>
            </w:r>
          </w:p>
        </w:tc>
        <w:tc>
          <w:tcPr>
            <w:tcW w:w="3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740" w:type="dxa"/>
            <w:vAlign w:val="bottom"/>
            <w:gridSpan w:val="2"/>
            <w:vMerge w:val="continue"/>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700" w:type="dxa"/>
            <w:vAlign w:val="bottom"/>
            <w:gridSpan w:val="15"/>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Exhibit Title</w:t>
            </w:r>
          </w:p>
        </w:tc>
        <w:tc>
          <w:tcPr>
            <w:tcW w:w="160" w:type="dxa"/>
            <w:vAlign w:val="bottom"/>
            <w:vMerge w:val="restart"/>
          </w:tcPr>
          <w:p>
            <w:pPr>
              <w:spacing w:after="0"/>
              <w:rPr>
                <w:sz w:val="9"/>
                <w:szCs w:val="9"/>
                <w:color w:val="auto"/>
              </w:rPr>
            </w:pPr>
          </w:p>
        </w:tc>
        <w:tc>
          <w:tcPr>
            <w:tcW w:w="48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8"/>
              </w:rPr>
              <w:t>Form</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Form</w:t>
            </w:r>
          </w:p>
        </w:tc>
        <w:tc>
          <w:tcPr>
            <w:tcW w:w="6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200" w:type="dxa"/>
            <w:vAlign w:val="bottom"/>
            <w:vMerge w:val="restart"/>
          </w:tcPr>
          <w:p>
            <w:pPr>
              <w:spacing w:after="0"/>
              <w:rPr>
                <w:sz w:val="9"/>
                <w:szCs w:val="9"/>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Date Filed</w:t>
            </w:r>
          </w:p>
        </w:tc>
        <w:tc>
          <w:tcPr>
            <w:tcW w:w="0" w:type="dxa"/>
            <w:vAlign w:val="bottom"/>
          </w:tcPr>
          <w:p>
            <w:pPr>
              <w:spacing w:after="0"/>
              <w:rPr>
                <w:sz w:val="1"/>
                <w:szCs w:val="1"/>
                <w:color w:val="auto"/>
              </w:rPr>
            </w:pPr>
          </w:p>
        </w:tc>
      </w:tr>
      <w:tr>
        <w:trPr>
          <w:trHeight w:val="130"/>
        </w:trPr>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91"/>
              </w:rPr>
              <w:t>Number</w:t>
            </w:r>
          </w:p>
        </w:tc>
        <w:tc>
          <w:tcPr>
            <w:tcW w:w="3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15"/>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S-3</w:t>
            </w:r>
          </w:p>
        </w:tc>
        <w:tc>
          <w:tcPr>
            <w:tcW w:w="220" w:type="dxa"/>
            <w:vAlign w:val="bottom"/>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1.1</w:t>
            </w:r>
          </w:p>
        </w:tc>
        <w:tc>
          <w:tcPr>
            <w:tcW w:w="340" w:type="dxa"/>
            <w:vAlign w:val="bottom"/>
          </w:tcPr>
          <w:p>
            <w:pPr>
              <w:spacing w:after="0"/>
              <w:rPr>
                <w:sz w:val="16"/>
                <w:szCs w:val="16"/>
                <w:color w:val="auto"/>
              </w:rPr>
            </w:pPr>
          </w:p>
        </w:tc>
        <w:tc>
          <w:tcPr>
            <w:tcW w:w="4760" w:type="dxa"/>
            <w:vAlign w:val="bottom"/>
            <w:gridSpan w:val="19"/>
          </w:tcPr>
          <w:p>
            <w:pPr>
              <w:spacing w:after="0"/>
              <w:rPr>
                <w:sz w:val="20"/>
                <w:szCs w:val="20"/>
                <w:color w:val="auto"/>
              </w:rPr>
            </w:pPr>
            <w:r>
              <w:rPr>
                <w:rFonts w:ascii="Times New Roman" w:cs="Times New Roman" w:eastAsia="Times New Roman" w:hAnsi="Times New Roman"/>
                <w:sz w:val="13"/>
                <w:szCs w:val="13"/>
                <w:color w:val="0000EE"/>
              </w:rPr>
              <w:t>Equity Distribution Agreement, by and between the Company and Canaccord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Borders>
              <w:top w:val="single" w:sz="8" w:color="0000EE"/>
              <w:bottom w:val="single" w:sz="8" w:color="0000EE"/>
            </w:tcBorders>
            <w:gridSpan w:val="5"/>
          </w:tcPr>
          <w:p>
            <w:pPr>
              <w:spacing w:after="0" w:line="142" w:lineRule="exact"/>
              <w:rPr>
                <w:sz w:val="20"/>
                <w:szCs w:val="20"/>
                <w:color w:val="auto"/>
              </w:rPr>
            </w:pPr>
            <w:r>
              <w:rPr>
                <w:rFonts w:ascii="Times New Roman" w:cs="Times New Roman" w:eastAsia="Times New Roman" w:hAnsi="Times New Roman"/>
                <w:sz w:val="13"/>
                <w:szCs w:val="13"/>
                <w:color w:val="0000EE"/>
              </w:rPr>
              <w:t>Genuity LLC, dated as of June 1, 2026.</w:t>
            </w:r>
          </w:p>
        </w:tc>
        <w:tc>
          <w:tcPr>
            <w:tcW w:w="2040" w:type="dxa"/>
            <w:vAlign w:val="bottom"/>
            <w:tcBorders>
              <w:top w:val="single" w:sz="8" w:color="0000EE"/>
            </w:tcBorders>
            <w:gridSpan w:val="8"/>
          </w:tcPr>
          <w:p>
            <w:pPr>
              <w:spacing w:after="0"/>
              <w:rPr>
                <w:sz w:val="12"/>
                <w:szCs w:val="12"/>
                <w:color w:val="auto"/>
              </w:rPr>
            </w:pPr>
          </w:p>
        </w:tc>
        <w:tc>
          <w:tcPr>
            <w:tcW w:w="600" w:type="dxa"/>
            <w:vAlign w:val="bottom"/>
            <w:gridSpan w:val="6"/>
          </w:tcPr>
          <w:p>
            <w:pPr>
              <w:spacing w:after="0"/>
              <w:rPr>
                <w:sz w:val="12"/>
                <w:szCs w:val="12"/>
                <w:color w:val="auto"/>
              </w:rPr>
            </w:pPr>
          </w:p>
        </w:tc>
        <w:tc>
          <w:tcPr>
            <w:tcW w:w="4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color w:val="auto"/>
              </w:rPr>
              <w:t>X</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3.1</w:t>
            </w:r>
          </w:p>
        </w:tc>
        <w:tc>
          <w:tcPr>
            <w:tcW w:w="340" w:type="dxa"/>
            <w:vAlign w:val="bottom"/>
          </w:tcPr>
          <w:p>
            <w:pPr>
              <w:spacing w:after="0"/>
              <w:rPr>
                <w:sz w:val="19"/>
                <w:szCs w:val="19"/>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15">
              <w:r>
                <w:rPr>
                  <w:rFonts w:ascii="Times New Roman" w:cs="Times New Roman" w:eastAsia="Times New Roman" w:hAnsi="Times New Roman"/>
                  <w:sz w:val="13"/>
                  <w:szCs w:val="13"/>
                  <w:color w:val="0000EE"/>
                </w:rPr>
                <w:t>Composite Certificate of Incorporation</w:t>
              </w:r>
            </w:hyperlink>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10-K</w:t>
            </w:r>
          </w:p>
        </w:tc>
        <w:tc>
          <w:tcPr>
            <w:tcW w:w="1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Exhibit 3.1</w:t>
            </w: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03/11/2016</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340" w:type="dxa"/>
            <w:vAlign w:val="bottom"/>
          </w:tcPr>
          <w:p>
            <w:pPr>
              <w:spacing w:after="0"/>
              <w:rPr>
                <w:sz w:val="18"/>
                <w:szCs w:val="18"/>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16">
              <w:r>
                <w:rPr>
                  <w:rFonts w:ascii="Times New Roman" w:cs="Times New Roman" w:eastAsia="Times New Roman" w:hAnsi="Times New Roman"/>
                  <w:sz w:val="13"/>
                  <w:szCs w:val="13"/>
                  <w:color w:val="0000EE"/>
                </w:rPr>
                <w:t>Certificate of Amendment to Amended and Restated Certificate of Incorporation</w:t>
              </w:r>
            </w:hyperlink>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8-K</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Exhibit 3.1</w:t>
            </w: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05/10/2016</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3.3</w:t>
            </w:r>
          </w:p>
        </w:tc>
        <w:tc>
          <w:tcPr>
            <w:tcW w:w="340" w:type="dxa"/>
            <w:vAlign w:val="bottom"/>
          </w:tcPr>
          <w:p>
            <w:pPr>
              <w:spacing w:after="0"/>
              <w:rPr>
                <w:sz w:val="18"/>
                <w:szCs w:val="18"/>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16">
              <w:r>
                <w:rPr>
                  <w:rFonts w:ascii="Times New Roman" w:cs="Times New Roman" w:eastAsia="Times New Roman" w:hAnsi="Times New Roman"/>
                  <w:sz w:val="13"/>
                  <w:szCs w:val="13"/>
                  <w:color w:val="0000EE"/>
                </w:rPr>
                <w:t>Certificate of Amendment to Amended and Restated Certificate of Incorporation</w:t>
              </w:r>
            </w:hyperlink>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8-K</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Exhibit 3.1</w:t>
            </w: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05/23/2018</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3.4</w:t>
            </w:r>
          </w:p>
        </w:tc>
        <w:tc>
          <w:tcPr>
            <w:tcW w:w="340" w:type="dxa"/>
            <w:vAlign w:val="bottom"/>
          </w:tcPr>
          <w:p>
            <w:pPr>
              <w:spacing w:after="0"/>
              <w:rPr>
                <w:sz w:val="18"/>
                <w:szCs w:val="18"/>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17">
              <w:r>
                <w:rPr>
                  <w:rFonts w:ascii="Times New Roman" w:cs="Times New Roman" w:eastAsia="Times New Roman" w:hAnsi="Times New Roman"/>
                  <w:sz w:val="13"/>
                  <w:szCs w:val="13"/>
                  <w:color w:val="0000EE"/>
                </w:rPr>
                <w:t>Certificate of Amendment to Amended and Restated Certificate of Incorporation</w:t>
              </w:r>
            </w:hyperlink>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8-K</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Exhibit 3.1</w:t>
            </w: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07/29/2019</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3.5</w:t>
            </w:r>
          </w:p>
        </w:tc>
        <w:tc>
          <w:tcPr>
            <w:tcW w:w="340" w:type="dxa"/>
            <w:vAlign w:val="bottom"/>
          </w:tcPr>
          <w:p>
            <w:pPr>
              <w:spacing w:after="0"/>
              <w:rPr>
                <w:sz w:val="18"/>
                <w:szCs w:val="18"/>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18">
              <w:r>
                <w:rPr>
                  <w:rFonts w:ascii="Times New Roman" w:cs="Times New Roman" w:eastAsia="Times New Roman" w:hAnsi="Times New Roman"/>
                  <w:sz w:val="13"/>
                  <w:szCs w:val="13"/>
                  <w:color w:val="0000EE"/>
                </w:rPr>
                <w:t>Certificate of Amendment to Amended and Restated Certificate of Incorporation</w:t>
              </w:r>
            </w:hyperlink>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8-K</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Exhibit 3.1</w:t>
            </w: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08/06/2019</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3.6</w:t>
            </w:r>
          </w:p>
        </w:tc>
        <w:tc>
          <w:tcPr>
            <w:tcW w:w="340" w:type="dxa"/>
            <w:vAlign w:val="bottom"/>
          </w:tcPr>
          <w:p>
            <w:pPr>
              <w:spacing w:after="0"/>
              <w:rPr>
                <w:sz w:val="18"/>
                <w:szCs w:val="18"/>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19">
              <w:r>
                <w:rPr>
                  <w:rFonts w:ascii="Times New Roman" w:cs="Times New Roman" w:eastAsia="Times New Roman" w:hAnsi="Times New Roman"/>
                  <w:sz w:val="13"/>
                  <w:szCs w:val="13"/>
                  <w:color w:val="0000EE"/>
                </w:rPr>
                <w:t>Certificate of Amendment to Amended and Restated Certificate of Incorporation</w:t>
              </w:r>
            </w:hyperlink>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8-K</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Exhibit 3.1</w:t>
            </w: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04/28/2023</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3.7</w:t>
            </w:r>
          </w:p>
        </w:tc>
        <w:tc>
          <w:tcPr>
            <w:tcW w:w="340" w:type="dxa"/>
            <w:vAlign w:val="bottom"/>
          </w:tcPr>
          <w:p>
            <w:pPr>
              <w:spacing w:after="0"/>
              <w:rPr>
                <w:sz w:val="18"/>
                <w:szCs w:val="18"/>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20">
              <w:r>
                <w:rPr>
                  <w:rFonts w:ascii="Times New Roman" w:cs="Times New Roman" w:eastAsia="Times New Roman" w:hAnsi="Times New Roman"/>
                  <w:sz w:val="13"/>
                  <w:szCs w:val="13"/>
                  <w:color w:val="0000EE"/>
                </w:rPr>
                <w:t>Certificate of Amendment to the Certificate of Incorporation, as amended</w:t>
              </w:r>
            </w:hyperlink>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8-K</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Exhibit 3.1</w:t>
            </w: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05/02/2025</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3.8</w:t>
            </w:r>
          </w:p>
        </w:tc>
        <w:tc>
          <w:tcPr>
            <w:tcW w:w="340" w:type="dxa"/>
            <w:vAlign w:val="bottom"/>
          </w:tcPr>
          <w:p>
            <w:pPr>
              <w:spacing w:after="0"/>
              <w:rPr>
                <w:sz w:val="18"/>
                <w:szCs w:val="18"/>
                <w:color w:val="auto"/>
              </w:rPr>
            </w:pPr>
          </w:p>
        </w:tc>
        <w:tc>
          <w:tcPr>
            <w:tcW w:w="4580" w:type="dxa"/>
            <w:vAlign w:val="bottom"/>
            <w:tcBorders>
              <w:bottom w:val="single" w:sz="8" w:color="0000EE"/>
            </w:tcBorders>
            <w:gridSpan w:val="17"/>
          </w:tcPr>
          <w:p>
            <w:pPr>
              <w:spacing w:after="0"/>
              <w:rPr>
                <w:rFonts w:ascii="Times New Roman" w:cs="Times New Roman" w:eastAsia="Times New Roman" w:hAnsi="Times New Roman"/>
                <w:sz w:val="13"/>
                <w:szCs w:val="13"/>
                <w:color w:val="0000EE"/>
              </w:rPr>
            </w:pPr>
            <w:hyperlink r:id="rId121">
              <w:r>
                <w:rPr>
                  <w:rFonts w:ascii="Times New Roman" w:cs="Times New Roman" w:eastAsia="Times New Roman" w:hAnsi="Times New Roman"/>
                  <w:sz w:val="13"/>
                  <w:szCs w:val="13"/>
                  <w:color w:val="0000EE"/>
                </w:rPr>
                <w:t>Certificate of Amendment to the Amended and Restated Certificate of Incorporation,</w:t>
              </w:r>
            </w:hyperlink>
          </w:p>
        </w:tc>
        <w:tc>
          <w:tcPr>
            <w:tcW w:w="1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60" w:type="dxa"/>
            <w:vAlign w:val="bottom"/>
            <w:gridSpan w:val="19"/>
          </w:tcPr>
          <w:p>
            <w:pPr>
              <w:spacing w:after="0" w:line="132" w:lineRule="exact"/>
              <w:rPr>
                <w:rFonts w:ascii="Times New Roman" w:cs="Times New Roman" w:eastAsia="Times New Roman" w:hAnsi="Times New Roman"/>
                <w:sz w:val="13"/>
                <w:szCs w:val="13"/>
                <w:color w:val="0000EE"/>
              </w:rPr>
            </w:pPr>
            <w:hyperlink r:id="rId121">
              <w:r>
                <w:rPr>
                  <w:rFonts w:ascii="Times New Roman" w:cs="Times New Roman" w:eastAsia="Times New Roman" w:hAnsi="Times New Roman"/>
                  <w:sz w:val="13"/>
                  <w:szCs w:val="13"/>
                  <w:color w:val="0000EE"/>
                </w:rPr>
                <w:t>filed with the Delaware Secretary of State on April 1, 2026</w:t>
              </w:r>
            </w:hyperlink>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10-Q</w:t>
            </w:r>
          </w:p>
        </w:tc>
        <w:tc>
          <w:tcPr>
            <w:tcW w:w="140" w:type="dxa"/>
            <w:vAlign w:val="bottom"/>
          </w:tcPr>
          <w:p>
            <w:pPr>
              <w:spacing w:after="0"/>
              <w:rPr>
                <w:sz w:val="12"/>
                <w:szCs w:val="12"/>
                <w:color w:val="auto"/>
              </w:rPr>
            </w:pPr>
          </w:p>
        </w:tc>
        <w:tc>
          <w:tcPr>
            <w:tcW w:w="96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3"/>
                <w:szCs w:val="13"/>
                <w:color w:val="auto"/>
              </w:rPr>
              <w:t>Exhibit 3.8</w:t>
            </w:r>
          </w:p>
        </w:tc>
        <w:tc>
          <w:tcPr>
            <w:tcW w:w="720" w:type="dxa"/>
            <w:vAlign w:val="bottom"/>
          </w:tcPr>
          <w:p>
            <w:pPr>
              <w:ind w:left="100"/>
              <w:spacing w:after="0" w:line="132" w:lineRule="exact"/>
              <w:rPr>
                <w:sz w:val="20"/>
                <w:szCs w:val="20"/>
                <w:color w:val="auto"/>
              </w:rPr>
            </w:pPr>
            <w:r>
              <w:rPr>
                <w:rFonts w:ascii="Times New Roman" w:cs="Times New Roman" w:eastAsia="Times New Roman" w:hAnsi="Times New Roman"/>
                <w:sz w:val="13"/>
                <w:szCs w:val="13"/>
                <w:color w:val="auto"/>
              </w:rPr>
              <w:t>05/15/2026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3.9</w:t>
            </w:r>
          </w:p>
        </w:tc>
        <w:tc>
          <w:tcPr>
            <w:tcW w:w="340" w:type="dxa"/>
            <w:vAlign w:val="bottom"/>
          </w:tcPr>
          <w:p>
            <w:pPr>
              <w:spacing w:after="0"/>
              <w:rPr>
                <w:sz w:val="20"/>
                <w:szCs w:val="20"/>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22">
              <w:r>
                <w:rPr>
                  <w:rFonts w:ascii="Times New Roman" w:cs="Times New Roman" w:eastAsia="Times New Roman" w:hAnsi="Times New Roman"/>
                  <w:sz w:val="13"/>
                  <w:szCs w:val="13"/>
                  <w:color w:val="0000EE"/>
                </w:rPr>
                <w:t>Certificate of Correction to the Amended and Restated Certificate filed with the</w:t>
              </w:r>
            </w:hyperlink>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60" w:type="dxa"/>
            <w:vAlign w:val="bottom"/>
            <w:tcBorders>
              <w:top w:val="single" w:sz="8" w:color="0000EE"/>
              <w:bottom w:val="single" w:sz="8" w:color="0000EE"/>
            </w:tcBorders>
            <w:gridSpan w:val="7"/>
          </w:tcPr>
          <w:p>
            <w:pPr>
              <w:spacing w:after="0" w:line="132" w:lineRule="exact"/>
              <w:rPr>
                <w:rFonts w:ascii="Times New Roman" w:cs="Times New Roman" w:eastAsia="Times New Roman" w:hAnsi="Times New Roman"/>
                <w:sz w:val="13"/>
                <w:szCs w:val="13"/>
                <w:color w:val="0000EE"/>
              </w:rPr>
            </w:pPr>
            <w:hyperlink r:id="rId122">
              <w:r>
                <w:rPr>
                  <w:rFonts w:ascii="Times New Roman" w:cs="Times New Roman" w:eastAsia="Times New Roman" w:hAnsi="Times New Roman"/>
                  <w:sz w:val="13"/>
                  <w:szCs w:val="13"/>
                  <w:color w:val="0000EE"/>
                </w:rPr>
                <w:t>Delaware Secretary of State on May 12, 2026</w:t>
              </w:r>
            </w:hyperlink>
          </w:p>
        </w:tc>
        <w:tc>
          <w:tcPr>
            <w:tcW w:w="1820" w:type="dxa"/>
            <w:vAlign w:val="bottom"/>
            <w:tcBorders>
              <w:top w:val="single" w:sz="8" w:color="0000EE"/>
            </w:tcBorders>
            <w:gridSpan w:val="7"/>
          </w:tcPr>
          <w:p>
            <w:pPr>
              <w:spacing w:after="0"/>
              <w:rPr>
                <w:sz w:val="12"/>
                <w:szCs w:val="12"/>
                <w:color w:val="auto"/>
              </w:rPr>
            </w:pPr>
          </w:p>
        </w:tc>
        <w:tc>
          <w:tcPr>
            <w:tcW w:w="480" w:type="dxa"/>
            <w:vAlign w:val="bottom"/>
            <w:gridSpan w:val="5"/>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10-Q</w:t>
            </w:r>
          </w:p>
        </w:tc>
        <w:tc>
          <w:tcPr>
            <w:tcW w:w="140" w:type="dxa"/>
            <w:vAlign w:val="bottom"/>
          </w:tcPr>
          <w:p>
            <w:pPr>
              <w:spacing w:after="0"/>
              <w:rPr>
                <w:sz w:val="12"/>
                <w:szCs w:val="12"/>
                <w:color w:val="auto"/>
              </w:rPr>
            </w:pPr>
          </w:p>
        </w:tc>
        <w:tc>
          <w:tcPr>
            <w:tcW w:w="96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3"/>
                <w:szCs w:val="13"/>
                <w:color w:val="auto"/>
              </w:rPr>
              <w:t>Exhibit 3.9</w:t>
            </w:r>
          </w:p>
        </w:tc>
        <w:tc>
          <w:tcPr>
            <w:tcW w:w="720" w:type="dxa"/>
            <w:vAlign w:val="bottom"/>
          </w:tcPr>
          <w:p>
            <w:pPr>
              <w:ind w:left="100"/>
              <w:spacing w:after="0" w:line="132" w:lineRule="exact"/>
              <w:rPr>
                <w:sz w:val="20"/>
                <w:szCs w:val="20"/>
                <w:color w:val="auto"/>
              </w:rPr>
            </w:pPr>
            <w:r>
              <w:rPr>
                <w:rFonts w:ascii="Times New Roman" w:cs="Times New Roman" w:eastAsia="Times New Roman" w:hAnsi="Times New Roman"/>
                <w:sz w:val="13"/>
                <w:szCs w:val="13"/>
                <w:color w:val="auto"/>
              </w:rPr>
              <w:t>05/15/2026</w:t>
            </w: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3.10</w:t>
            </w:r>
          </w:p>
        </w:tc>
        <w:tc>
          <w:tcPr>
            <w:tcW w:w="340" w:type="dxa"/>
            <w:vAlign w:val="bottom"/>
          </w:tcPr>
          <w:p>
            <w:pPr>
              <w:spacing w:after="0"/>
              <w:rPr>
                <w:sz w:val="20"/>
                <w:szCs w:val="20"/>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23">
              <w:r>
                <w:rPr>
                  <w:rFonts w:ascii="Times New Roman" w:cs="Times New Roman" w:eastAsia="Times New Roman" w:hAnsi="Times New Roman"/>
                  <w:sz w:val="13"/>
                  <w:szCs w:val="13"/>
                  <w:color w:val="0000EE"/>
                </w:rPr>
                <w:t>Certificate of Designation of Preferences, Rights and Limitations of Series B</w:t>
              </w:r>
            </w:hyperlink>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20" w:type="dxa"/>
            <w:vAlign w:val="bottom"/>
            <w:tcBorders>
              <w:top w:val="single" w:sz="8" w:color="0000EE"/>
            </w:tcBorders>
            <w:gridSpan w:val="12"/>
          </w:tcPr>
          <w:p>
            <w:pPr>
              <w:spacing w:after="0" w:line="142" w:lineRule="exact"/>
              <w:rPr>
                <w:rFonts w:ascii="Times New Roman" w:cs="Times New Roman" w:eastAsia="Times New Roman" w:hAnsi="Times New Roman"/>
                <w:sz w:val="13"/>
                <w:szCs w:val="13"/>
                <w:color w:val="0000EE"/>
              </w:rPr>
            </w:pPr>
            <w:hyperlink r:id="rId123">
              <w:r>
                <w:rPr>
                  <w:rFonts w:ascii="Times New Roman" w:cs="Times New Roman" w:eastAsia="Times New Roman" w:hAnsi="Times New Roman"/>
                  <w:sz w:val="13"/>
                  <w:szCs w:val="13"/>
                  <w:color w:val="0000EE"/>
                </w:rPr>
                <w:t>Convertible Preferred Stock</w:t>
              </w:r>
            </w:hyperlink>
          </w:p>
        </w:tc>
        <w:tc>
          <w:tcPr>
            <w:tcW w:w="640" w:type="dxa"/>
            <w:vAlign w:val="bottom"/>
            <w:gridSpan w:val="7"/>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8-K</w:t>
            </w:r>
          </w:p>
        </w:tc>
        <w:tc>
          <w:tcPr>
            <w:tcW w:w="140" w:type="dxa"/>
            <w:vAlign w:val="bottom"/>
          </w:tcPr>
          <w:p>
            <w:pPr>
              <w:spacing w:after="0"/>
              <w:rPr>
                <w:sz w:val="12"/>
                <w:szCs w:val="12"/>
                <w:color w:val="auto"/>
              </w:rPr>
            </w:pPr>
          </w:p>
        </w:tc>
        <w:tc>
          <w:tcPr>
            <w:tcW w:w="9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auto"/>
              </w:rPr>
              <w:t>Exhibit 3.1</w:t>
            </w:r>
          </w:p>
        </w:tc>
        <w:tc>
          <w:tcPr>
            <w:tcW w:w="7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11/28/2017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340" w:type="dxa"/>
            <w:vAlign w:val="bottom"/>
          </w:tcPr>
          <w:p>
            <w:pPr>
              <w:spacing w:after="0"/>
              <w:rPr>
                <w:sz w:val="19"/>
                <w:szCs w:val="19"/>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24">
              <w:r>
                <w:rPr>
                  <w:rFonts w:ascii="Times New Roman" w:cs="Times New Roman" w:eastAsia="Times New Roman" w:hAnsi="Times New Roman"/>
                  <w:sz w:val="13"/>
                  <w:szCs w:val="13"/>
                  <w:color w:val="0000EE"/>
                </w:rPr>
                <w:t>Certificate of Designation of Preferences, Rights and Limitations of Series C</w:t>
              </w:r>
            </w:hyperlink>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20" w:type="dxa"/>
            <w:vAlign w:val="bottom"/>
            <w:tcBorders>
              <w:top w:val="single" w:sz="8" w:color="0000EE"/>
            </w:tcBorders>
            <w:gridSpan w:val="12"/>
          </w:tcPr>
          <w:p>
            <w:pPr>
              <w:spacing w:after="0" w:line="142" w:lineRule="exact"/>
              <w:rPr>
                <w:rFonts w:ascii="Times New Roman" w:cs="Times New Roman" w:eastAsia="Times New Roman" w:hAnsi="Times New Roman"/>
                <w:sz w:val="13"/>
                <w:szCs w:val="13"/>
                <w:color w:val="0000EE"/>
              </w:rPr>
            </w:pPr>
            <w:hyperlink r:id="rId124">
              <w:r>
                <w:rPr>
                  <w:rFonts w:ascii="Times New Roman" w:cs="Times New Roman" w:eastAsia="Times New Roman" w:hAnsi="Times New Roman"/>
                  <w:sz w:val="13"/>
                  <w:szCs w:val="13"/>
                  <w:color w:val="0000EE"/>
                </w:rPr>
                <w:t>Convertible Preferred Stock</w:t>
              </w:r>
            </w:hyperlink>
          </w:p>
        </w:tc>
        <w:tc>
          <w:tcPr>
            <w:tcW w:w="640" w:type="dxa"/>
            <w:vAlign w:val="bottom"/>
            <w:gridSpan w:val="7"/>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8-K</w:t>
            </w:r>
          </w:p>
        </w:tc>
        <w:tc>
          <w:tcPr>
            <w:tcW w:w="140" w:type="dxa"/>
            <w:vAlign w:val="bottom"/>
          </w:tcPr>
          <w:p>
            <w:pPr>
              <w:spacing w:after="0"/>
              <w:rPr>
                <w:sz w:val="12"/>
                <w:szCs w:val="12"/>
                <w:color w:val="auto"/>
              </w:rPr>
            </w:pPr>
          </w:p>
        </w:tc>
        <w:tc>
          <w:tcPr>
            <w:tcW w:w="9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auto"/>
              </w:rPr>
              <w:t>Exhibit 3.1</w:t>
            </w:r>
          </w:p>
        </w:tc>
        <w:tc>
          <w:tcPr>
            <w:tcW w:w="7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07/25/2018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340" w:type="dxa"/>
            <w:vAlign w:val="bottom"/>
          </w:tcPr>
          <w:p>
            <w:pPr>
              <w:spacing w:after="0"/>
              <w:rPr>
                <w:sz w:val="19"/>
                <w:szCs w:val="19"/>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25">
              <w:r>
                <w:rPr>
                  <w:rFonts w:ascii="Times New Roman" w:cs="Times New Roman" w:eastAsia="Times New Roman" w:hAnsi="Times New Roman"/>
                  <w:sz w:val="13"/>
                  <w:szCs w:val="13"/>
                  <w:color w:val="0000EE"/>
                </w:rPr>
                <w:t>Amended and Restated Bylaws of Plus Therapeutics, Inc.</w:t>
              </w:r>
            </w:hyperlink>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8-K</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Exhibit 3.1</w:t>
            </w: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09/21/2021</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4.1</w:t>
            </w:r>
          </w:p>
        </w:tc>
        <w:tc>
          <w:tcPr>
            <w:tcW w:w="340" w:type="dxa"/>
            <w:vAlign w:val="bottom"/>
          </w:tcPr>
          <w:p>
            <w:pPr>
              <w:spacing w:after="0"/>
              <w:rPr>
                <w:sz w:val="18"/>
                <w:szCs w:val="18"/>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26">
              <w:r>
                <w:rPr>
                  <w:rFonts w:ascii="Times New Roman" w:cs="Times New Roman" w:eastAsia="Times New Roman" w:hAnsi="Times New Roman"/>
                  <w:sz w:val="13"/>
                  <w:szCs w:val="13"/>
                  <w:color w:val="0000EE"/>
                </w:rPr>
                <w:t>Form of Common Stock Certificate</w:t>
              </w:r>
            </w:hyperlink>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001-34375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10-K</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Exhibit 4.33</w:t>
            </w: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03/09/2018</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340" w:type="dxa"/>
            <w:vAlign w:val="bottom"/>
          </w:tcPr>
          <w:p>
            <w:pPr>
              <w:spacing w:after="0"/>
              <w:rPr>
                <w:sz w:val="18"/>
                <w:szCs w:val="18"/>
                <w:color w:val="auto"/>
              </w:rPr>
            </w:pPr>
          </w:p>
        </w:tc>
        <w:tc>
          <w:tcPr>
            <w:tcW w:w="4760" w:type="dxa"/>
            <w:vAlign w:val="bottom"/>
            <w:gridSpan w:val="19"/>
          </w:tcPr>
          <w:p>
            <w:pPr>
              <w:spacing w:after="0"/>
              <w:rPr>
                <w:rFonts w:ascii="Times New Roman" w:cs="Times New Roman" w:eastAsia="Times New Roman" w:hAnsi="Times New Roman"/>
                <w:sz w:val="13"/>
                <w:szCs w:val="13"/>
                <w:color w:val="0000EE"/>
              </w:rPr>
            </w:pPr>
            <w:hyperlink r:id="rId127">
              <w:r>
                <w:rPr>
                  <w:rFonts w:ascii="Times New Roman" w:cs="Times New Roman" w:eastAsia="Times New Roman" w:hAnsi="Times New Roman"/>
                  <w:sz w:val="13"/>
                  <w:szCs w:val="13"/>
                  <w:color w:val="0000EE"/>
                </w:rPr>
                <w:t>Form of Common Stock Purchase Warrant</w:t>
              </w:r>
            </w:hyperlink>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333-292637</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S-1</w:t>
            </w:r>
          </w:p>
        </w:tc>
        <w:tc>
          <w:tcPr>
            <w:tcW w:w="1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Exhibit 4.4</w:t>
            </w: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01/09/2026</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5.1</w:t>
            </w:r>
          </w:p>
        </w:tc>
        <w:tc>
          <w:tcPr>
            <w:tcW w:w="340" w:type="dxa"/>
            <w:vAlign w:val="bottom"/>
          </w:tcPr>
          <w:p>
            <w:pPr>
              <w:spacing w:after="0"/>
              <w:rPr>
                <w:sz w:val="18"/>
                <w:szCs w:val="18"/>
                <w:color w:val="auto"/>
              </w:rPr>
            </w:pPr>
          </w:p>
        </w:tc>
        <w:tc>
          <w:tcPr>
            <w:tcW w:w="4760" w:type="dxa"/>
            <w:vAlign w:val="bottom"/>
            <w:gridSpan w:val="19"/>
          </w:tcPr>
          <w:p>
            <w:pPr>
              <w:spacing w:after="0"/>
              <w:rPr>
                <w:sz w:val="20"/>
                <w:szCs w:val="20"/>
                <w:color w:val="auto"/>
              </w:rPr>
            </w:pPr>
            <w:r>
              <w:rPr>
                <w:rFonts w:ascii="Times New Roman" w:cs="Times New Roman" w:eastAsia="Times New Roman" w:hAnsi="Times New Roman"/>
                <w:sz w:val="13"/>
                <w:szCs w:val="13"/>
                <w:color w:val="0000EE"/>
              </w:rPr>
              <w:t>Opinion of Sullivan &amp; Worcester LLP relating to the base prospectus.</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X</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80" w:type="dxa"/>
            <w:vAlign w:val="bottom"/>
            <w:gridSpan w:val="9"/>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5.2</w:t>
            </w:r>
          </w:p>
        </w:tc>
        <w:tc>
          <w:tcPr>
            <w:tcW w:w="340" w:type="dxa"/>
            <w:vAlign w:val="bottom"/>
          </w:tcPr>
          <w:p>
            <w:pPr>
              <w:spacing w:after="0"/>
              <w:rPr>
                <w:sz w:val="19"/>
                <w:szCs w:val="19"/>
                <w:color w:val="auto"/>
              </w:rPr>
            </w:pPr>
          </w:p>
        </w:tc>
        <w:tc>
          <w:tcPr>
            <w:tcW w:w="4760" w:type="dxa"/>
            <w:vAlign w:val="bottom"/>
            <w:gridSpan w:val="19"/>
          </w:tcPr>
          <w:p>
            <w:pPr>
              <w:spacing w:after="0"/>
              <w:rPr>
                <w:sz w:val="20"/>
                <w:szCs w:val="20"/>
                <w:color w:val="auto"/>
              </w:rPr>
            </w:pPr>
            <w:r>
              <w:rPr>
                <w:rFonts w:ascii="Times New Roman" w:cs="Times New Roman" w:eastAsia="Times New Roman" w:hAnsi="Times New Roman"/>
                <w:sz w:val="13"/>
                <w:szCs w:val="13"/>
                <w:color w:val="0000EE"/>
              </w:rPr>
              <w:t>Opinion of Sullivan &amp; Worcester LLP relating to the “equity distribution agreement”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Borders>
              <w:top w:val="single" w:sz="8" w:color="0000EE"/>
              <w:bottom w:val="single" w:sz="8" w:color="0000EE"/>
            </w:tcBorders>
          </w:tcPr>
          <w:p>
            <w:pPr>
              <w:spacing w:after="0" w:line="142" w:lineRule="exact"/>
              <w:rPr>
                <w:sz w:val="20"/>
                <w:szCs w:val="20"/>
                <w:color w:val="auto"/>
              </w:rPr>
            </w:pPr>
            <w:r>
              <w:rPr>
                <w:rFonts w:ascii="Times New Roman" w:cs="Times New Roman" w:eastAsia="Times New Roman" w:hAnsi="Times New Roman"/>
                <w:sz w:val="13"/>
                <w:szCs w:val="13"/>
                <w:color w:val="0000EE"/>
              </w:rPr>
              <w:t>prospectus supplement.</w:t>
            </w:r>
          </w:p>
        </w:tc>
        <w:tc>
          <w:tcPr>
            <w:tcW w:w="3300" w:type="dxa"/>
            <w:vAlign w:val="bottom"/>
            <w:tcBorders>
              <w:top w:val="single" w:sz="8" w:color="0000EE"/>
            </w:tcBorders>
            <w:gridSpan w:val="15"/>
          </w:tcPr>
          <w:p>
            <w:pPr>
              <w:spacing w:after="0"/>
              <w:rPr>
                <w:sz w:val="12"/>
                <w:szCs w:val="12"/>
                <w:color w:val="auto"/>
              </w:rPr>
            </w:pPr>
          </w:p>
        </w:tc>
        <w:tc>
          <w:tcPr>
            <w:tcW w:w="200" w:type="dxa"/>
            <w:vAlign w:val="bottom"/>
            <w:gridSpan w:val="3"/>
          </w:tcPr>
          <w:p>
            <w:pPr>
              <w:spacing w:after="0"/>
              <w:rPr>
                <w:sz w:val="12"/>
                <w:szCs w:val="12"/>
                <w:color w:val="auto"/>
              </w:rPr>
            </w:pPr>
          </w:p>
        </w:tc>
        <w:tc>
          <w:tcPr>
            <w:tcW w:w="4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color w:val="auto"/>
              </w:rPr>
              <w:t>X</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II-3</w:t>
      </w:r>
    </w:p>
    <w:p>
      <w:pPr>
        <w:sectPr>
          <w:pgSz w:w="11900" w:h="16838" w:orient="portrait"/>
          <w:cols w:equalWidth="0" w:num="1">
            <w:col w:w="10159"/>
          </w:cols>
          <w:pgMar w:left="300" w:top="375"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2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Filed</w:t>
            </w:r>
          </w:p>
        </w:tc>
        <w:tc>
          <w:tcPr>
            <w:tcW w:w="260" w:type="dxa"/>
            <w:vAlign w:val="bottom"/>
          </w:tcPr>
          <w:p>
            <w:pPr>
              <w:spacing w:after="0"/>
              <w:rPr>
                <w:sz w:val="11"/>
                <w:szCs w:val="11"/>
                <w:color w:val="auto"/>
              </w:rPr>
            </w:pPr>
          </w:p>
        </w:tc>
        <w:tc>
          <w:tcPr>
            <w:tcW w:w="12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Incorporated by Reference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gridSpan w:val="2"/>
          </w:tcPr>
          <w:p>
            <w:pPr>
              <w:jc w:val="center"/>
              <w:ind w:right="540"/>
              <w:spacing w:after="0" w:line="92" w:lineRule="exact"/>
              <w:rPr>
                <w:sz w:val="20"/>
                <w:szCs w:val="20"/>
                <w:color w:val="auto"/>
              </w:rPr>
            </w:pPr>
            <w:r>
              <w:rPr>
                <w:rFonts w:ascii="Times New Roman" w:cs="Times New Roman" w:eastAsia="Times New Roman" w:hAnsi="Times New Roman"/>
                <w:sz w:val="10"/>
                <w:szCs w:val="10"/>
                <w:b w:val="1"/>
                <w:bCs w:val="1"/>
                <w:color w:val="auto"/>
              </w:rPr>
              <w:t>with</w:t>
            </w:r>
          </w:p>
        </w:tc>
        <w:tc>
          <w:tcPr>
            <w:tcW w:w="2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3"/>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gridSpan w:val="2"/>
          </w:tcPr>
          <w:p>
            <w:pPr>
              <w:jc w:val="center"/>
              <w:ind w:right="540"/>
              <w:spacing w:after="0" w:line="111" w:lineRule="exact"/>
              <w:rPr>
                <w:sz w:val="20"/>
                <w:szCs w:val="20"/>
                <w:color w:val="auto"/>
              </w:rPr>
            </w:pPr>
            <w:r>
              <w:rPr>
                <w:rFonts w:ascii="Times New Roman" w:cs="Times New Roman" w:eastAsia="Times New Roman" w:hAnsi="Times New Roman"/>
                <w:sz w:val="11"/>
                <w:szCs w:val="11"/>
                <w:b w:val="1"/>
                <w:bCs w:val="1"/>
                <w:color w:val="auto"/>
                <w:w w:val="93"/>
              </w:rPr>
              <w:t>this</w:t>
            </w: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File</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11"/>
        </w:trPr>
        <w:tc>
          <w:tcPr>
            <w:tcW w:w="10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80" w:type="dxa"/>
            <w:vAlign w:val="bottom"/>
            <w:gridSpan w:val="6"/>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Exhibit Title</w:t>
            </w:r>
          </w:p>
        </w:tc>
        <w:tc>
          <w:tcPr>
            <w:tcW w:w="820" w:type="dxa"/>
            <w:vAlign w:val="bottom"/>
            <w:gridSpan w:val="2"/>
          </w:tcPr>
          <w:p>
            <w:pPr>
              <w:jc w:val="right"/>
              <w:ind w:right="560"/>
              <w:spacing w:after="0" w:line="111" w:lineRule="exact"/>
              <w:rPr>
                <w:sz w:val="20"/>
                <w:szCs w:val="20"/>
                <w:color w:val="auto"/>
              </w:rPr>
            </w:pPr>
            <w:r>
              <w:rPr>
                <w:rFonts w:ascii="Times New Roman" w:cs="Times New Roman" w:eastAsia="Times New Roman" w:hAnsi="Times New Roman"/>
                <w:sz w:val="11"/>
                <w:szCs w:val="11"/>
                <w:b w:val="1"/>
                <w:bCs w:val="1"/>
                <w:color w:val="auto"/>
                <w:w w:val="91"/>
              </w:rPr>
              <w:t>Form</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1"/>
              </w:rPr>
              <w:t>Form</w:t>
            </w:r>
          </w:p>
        </w:tc>
        <w:tc>
          <w:tcPr>
            <w:tcW w:w="5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80" w:type="dxa"/>
            <w:vAlign w:val="bottom"/>
            <w:gridSpan w:val="6"/>
            <w:vMerge w:val="continue"/>
          </w:tcPr>
          <w:p>
            <w:pPr>
              <w:spacing w:after="0"/>
              <w:rPr>
                <w:sz w:val="11"/>
                <w:szCs w:val="11"/>
                <w:color w:val="auto"/>
              </w:rPr>
            </w:pPr>
          </w:p>
        </w:tc>
        <w:tc>
          <w:tcPr>
            <w:tcW w:w="82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S-3</w:t>
            </w:r>
          </w:p>
        </w:tc>
        <w:tc>
          <w:tcPr>
            <w:tcW w:w="2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2"/>
              </w:rPr>
              <w:t>Filed</w:t>
            </w:r>
          </w:p>
        </w:tc>
        <w:tc>
          <w:tcPr>
            <w:tcW w:w="0" w:type="dxa"/>
            <w:vAlign w:val="bottom"/>
          </w:tcPr>
          <w:p>
            <w:pPr>
              <w:spacing w:after="0"/>
              <w:rPr>
                <w:sz w:val="1"/>
                <w:szCs w:val="1"/>
                <w:color w:val="auto"/>
              </w:rPr>
            </w:pPr>
          </w:p>
        </w:tc>
      </w:tr>
      <w:tr>
        <w:trPr>
          <w:trHeight w:val="192"/>
        </w:trPr>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23.1</w:t>
            </w:r>
          </w:p>
        </w:tc>
        <w:tc>
          <w:tcPr>
            <w:tcW w:w="640" w:type="dxa"/>
            <w:vAlign w:val="bottom"/>
          </w:tcPr>
          <w:p>
            <w:pPr>
              <w:spacing w:after="0"/>
              <w:rPr>
                <w:sz w:val="16"/>
                <w:szCs w:val="16"/>
                <w:color w:val="auto"/>
              </w:rPr>
            </w:pPr>
          </w:p>
        </w:tc>
        <w:tc>
          <w:tcPr>
            <w:tcW w:w="3940" w:type="dxa"/>
            <w:vAlign w:val="bottom"/>
            <w:tcBorders>
              <w:top w:val="single" w:sz="8" w:color="auto"/>
              <w:bottom w:val="single" w:sz="8" w:color="0000EE"/>
            </w:tcBorders>
            <w:gridSpan w:val="7"/>
          </w:tcPr>
          <w:p>
            <w:pPr>
              <w:spacing w:after="0"/>
              <w:rPr>
                <w:sz w:val="20"/>
                <w:szCs w:val="20"/>
                <w:color w:val="auto"/>
              </w:rPr>
            </w:pPr>
            <w:r>
              <w:rPr>
                <w:rFonts w:ascii="Times New Roman" w:cs="Times New Roman" w:eastAsia="Times New Roman" w:hAnsi="Times New Roman"/>
                <w:sz w:val="13"/>
                <w:szCs w:val="13"/>
                <w:color w:val="0000EE"/>
              </w:rPr>
              <w:t>Consent of CBIZ CPAs, P.C., Independent Registered Public Accounting</w:t>
            </w:r>
          </w:p>
        </w:tc>
        <w:tc>
          <w:tcPr>
            <w:tcW w:w="18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Borders>
              <w:bottom w:val="single" w:sz="8" w:color="0000EE"/>
            </w:tcBorders>
          </w:tcPr>
          <w:p>
            <w:pPr>
              <w:spacing w:after="0" w:line="142" w:lineRule="exact"/>
              <w:rPr>
                <w:sz w:val="20"/>
                <w:szCs w:val="20"/>
                <w:color w:val="auto"/>
              </w:rPr>
            </w:pPr>
            <w:r>
              <w:rPr>
                <w:rFonts w:ascii="Times New Roman" w:cs="Times New Roman" w:eastAsia="Times New Roman" w:hAnsi="Times New Roman"/>
                <w:sz w:val="13"/>
                <w:szCs w:val="13"/>
                <w:color w:val="0000EE"/>
                <w:w w:val="97"/>
              </w:rPr>
              <w:t>Firm.</w:t>
            </w:r>
          </w:p>
        </w:tc>
        <w:tc>
          <w:tcPr>
            <w:tcW w:w="4320" w:type="dxa"/>
            <w:vAlign w:val="bottom"/>
            <w:gridSpan w:val="8"/>
          </w:tcPr>
          <w:p>
            <w:pPr>
              <w:spacing w:after="0"/>
              <w:rPr>
                <w:sz w:val="12"/>
                <w:szCs w:val="12"/>
                <w:color w:val="auto"/>
              </w:rPr>
            </w:pPr>
          </w:p>
        </w:tc>
        <w:tc>
          <w:tcPr>
            <w:tcW w:w="82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3"/>
                <w:szCs w:val="13"/>
                <w:color w:val="auto"/>
              </w:rPr>
              <w:t>X</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23.2</w:t>
            </w:r>
          </w:p>
        </w:tc>
        <w:tc>
          <w:tcPr>
            <w:tcW w:w="640" w:type="dxa"/>
            <w:vAlign w:val="bottom"/>
          </w:tcPr>
          <w:p>
            <w:pPr>
              <w:spacing w:after="0"/>
              <w:rPr>
                <w:sz w:val="19"/>
                <w:szCs w:val="19"/>
                <w:color w:val="auto"/>
              </w:rPr>
            </w:pPr>
          </w:p>
        </w:tc>
        <w:tc>
          <w:tcPr>
            <w:tcW w:w="38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rPr>
              <w:t>Consent of BDO USA, P.C., Independent Registered Public Accounting</w:t>
            </w:r>
          </w:p>
        </w:tc>
        <w:tc>
          <w:tcPr>
            <w:tcW w:w="740" w:type="dxa"/>
            <w:vAlign w:val="bottom"/>
            <w:gridSpan w:val="3"/>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Borders>
              <w:bottom w:val="single" w:sz="8" w:color="0000EE"/>
            </w:tcBorders>
          </w:tcPr>
          <w:p>
            <w:pPr>
              <w:spacing w:after="0" w:line="142" w:lineRule="exact"/>
              <w:rPr>
                <w:sz w:val="20"/>
                <w:szCs w:val="20"/>
                <w:color w:val="auto"/>
              </w:rPr>
            </w:pPr>
            <w:r>
              <w:rPr>
                <w:rFonts w:ascii="Times New Roman" w:cs="Times New Roman" w:eastAsia="Times New Roman" w:hAnsi="Times New Roman"/>
                <w:sz w:val="13"/>
                <w:szCs w:val="13"/>
                <w:color w:val="0000EE"/>
                <w:w w:val="97"/>
              </w:rPr>
              <w:t>Firm.</w:t>
            </w:r>
          </w:p>
        </w:tc>
        <w:tc>
          <w:tcPr>
            <w:tcW w:w="4320" w:type="dxa"/>
            <w:vAlign w:val="bottom"/>
            <w:gridSpan w:val="8"/>
          </w:tcPr>
          <w:p>
            <w:pPr>
              <w:spacing w:after="0"/>
              <w:rPr>
                <w:sz w:val="12"/>
                <w:szCs w:val="12"/>
                <w:color w:val="auto"/>
              </w:rPr>
            </w:pPr>
          </w:p>
        </w:tc>
        <w:tc>
          <w:tcPr>
            <w:tcW w:w="82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3"/>
                <w:szCs w:val="13"/>
                <w:color w:val="auto"/>
              </w:rPr>
              <w:t>X</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23.3</w:t>
            </w:r>
          </w:p>
        </w:tc>
        <w:tc>
          <w:tcPr>
            <w:tcW w:w="640" w:type="dxa"/>
            <w:vAlign w:val="bottom"/>
          </w:tcPr>
          <w:p>
            <w:pPr>
              <w:spacing w:after="0"/>
              <w:rPr>
                <w:sz w:val="19"/>
                <w:szCs w:val="19"/>
                <w:color w:val="auto"/>
              </w:rPr>
            </w:pPr>
          </w:p>
        </w:tc>
        <w:tc>
          <w:tcPr>
            <w:tcW w:w="38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rPr>
              <w:t>Consent of Sullivan &amp; Worcester LLP (included in Exhibit 5.1 hereto).</w:t>
            </w:r>
          </w:p>
        </w:tc>
        <w:tc>
          <w:tcPr>
            <w:tcW w:w="780" w:type="dxa"/>
            <w:vAlign w:val="bottom"/>
            <w:gridSpan w:val="4"/>
          </w:tcPr>
          <w:p>
            <w:pPr>
              <w:spacing w:after="0"/>
              <w:rPr>
                <w:sz w:val="19"/>
                <w:szCs w:val="19"/>
                <w:color w:val="auto"/>
              </w:rPr>
            </w:pP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X</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23.4</w:t>
            </w:r>
          </w:p>
        </w:tc>
        <w:tc>
          <w:tcPr>
            <w:tcW w:w="640" w:type="dxa"/>
            <w:vAlign w:val="bottom"/>
          </w:tcPr>
          <w:p>
            <w:pPr>
              <w:spacing w:after="0"/>
              <w:rPr>
                <w:sz w:val="19"/>
                <w:szCs w:val="19"/>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3"/>
                <w:szCs w:val="13"/>
                <w:color w:val="0000EE"/>
              </w:rPr>
              <w:t>Consent of Sullivan &amp; Worcester LLP (included in Exhibit 5.2 hereto).</w:t>
            </w: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X</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24.1</w:t>
            </w:r>
          </w:p>
        </w:tc>
        <w:tc>
          <w:tcPr>
            <w:tcW w:w="640" w:type="dxa"/>
            <w:vAlign w:val="bottom"/>
          </w:tcPr>
          <w:p>
            <w:pPr>
              <w:spacing w:after="0"/>
              <w:rPr>
                <w:sz w:val="19"/>
                <w:szCs w:val="19"/>
                <w:color w:val="auto"/>
              </w:rPr>
            </w:pPr>
          </w:p>
        </w:tc>
        <w:tc>
          <w:tcPr>
            <w:tcW w:w="10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Power of Attorney.</w:t>
            </w:r>
          </w:p>
        </w:tc>
        <w:tc>
          <w:tcPr>
            <w:tcW w:w="2780" w:type="dxa"/>
            <w:vAlign w:val="bottom"/>
            <w:tcBorders>
              <w:top w:val="single" w:sz="8" w:color="0000EE"/>
            </w:tcBorders>
          </w:tcPr>
          <w:p>
            <w:pPr>
              <w:spacing w:after="0"/>
              <w:rPr>
                <w:sz w:val="19"/>
                <w:szCs w:val="19"/>
                <w:color w:val="auto"/>
              </w:rPr>
            </w:pPr>
          </w:p>
        </w:tc>
        <w:tc>
          <w:tcPr>
            <w:tcW w:w="800" w:type="dxa"/>
            <w:vAlign w:val="bottom"/>
            <w:gridSpan w:val="5"/>
          </w:tcPr>
          <w:p>
            <w:pPr>
              <w:spacing w:after="0"/>
              <w:rPr>
                <w:sz w:val="19"/>
                <w:szCs w:val="19"/>
                <w:color w:val="auto"/>
              </w:rPr>
            </w:pP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X</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640" w:type="dxa"/>
            <w:vAlign w:val="bottom"/>
          </w:tcPr>
          <w:p>
            <w:pPr>
              <w:spacing w:after="0"/>
              <w:rPr>
                <w:sz w:val="19"/>
                <w:szCs w:val="19"/>
                <w:color w:val="auto"/>
              </w:rPr>
            </w:pPr>
          </w:p>
        </w:tc>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Filing Fee Table.</w:t>
            </w:r>
          </w:p>
        </w:tc>
        <w:tc>
          <w:tcPr>
            <w:tcW w:w="3700" w:type="dxa"/>
            <w:vAlign w:val="bottom"/>
            <w:gridSpan w:val="7"/>
          </w:tcPr>
          <w:p>
            <w:pPr>
              <w:spacing w:after="0"/>
              <w:rPr>
                <w:sz w:val="19"/>
                <w:szCs w:val="19"/>
                <w:color w:val="auto"/>
              </w:rPr>
            </w:pP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X</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840" w:right="1039" w:hanging="315"/>
        <w:spacing w:after="0" w:line="298" w:lineRule="auto"/>
        <w:tabs>
          <w:tab w:leader="none" w:pos="18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if necessary, subsequent to the effectiveness of this registration statement by an amendment to this registration statement or incorporated by reference pursuant to a Current Report on Form 8-K in connection with an offering of securities.</w:t>
      </w:r>
    </w:p>
    <w:p>
      <w:pPr>
        <w:spacing w:after="0" w:line="1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Item 17. Undertakings.</w:t>
      </w:r>
    </w:p>
    <w:p>
      <w:pPr>
        <w:spacing w:after="0" w:line="107" w:lineRule="exact"/>
        <w:rPr>
          <w:sz w:val="20"/>
          <w:szCs w:val="20"/>
          <w:color w:val="auto"/>
        </w:rPr>
      </w:pPr>
    </w:p>
    <w:p>
      <w:pPr>
        <w:ind w:left="1840" w:hanging="315"/>
        <w:spacing w:after="0"/>
        <w:tabs>
          <w:tab w:leader="none" w:pos="18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w:t>
      </w:r>
    </w:p>
    <w:p>
      <w:pPr>
        <w:spacing w:after="0" w:line="102" w:lineRule="exact"/>
        <w:rPr>
          <w:rFonts w:ascii="Times New Roman" w:cs="Times New Roman" w:eastAsia="Times New Roman" w:hAnsi="Times New Roman"/>
          <w:sz w:val="13"/>
          <w:szCs w:val="13"/>
          <w:color w:val="auto"/>
        </w:rPr>
      </w:pPr>
    </w:p>
    <w:p>
      <w:pPr>
        <w:ind w:left="2260" w:hanging="412"/>
        <w:spacing w:after="0"/>
        <w:tabs>
          <w:tab w:leader="none" w:pos="226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this registration statement:</w:t>
      </w:r>
    </w:p>
    <w:p>
      <w:pPr>
        <w:spacing w:after="0" w:line="102" w:lineRule="exact"/>
        <w:rPr>
          <w:rFonts w:ascii="Times New Roman" w:cs="Times New Roman" w:eastAsia="Times New Roman" w:hAnsi="Times New Roman"/>
          <w:sz w:val="13"/>
          <w:szCs w:val="13"/>
          <w:color w:val="auto"/>
        </w:rPr>
      </w:pPr>
    </w:p>
    <w:p>
      <w:pPr>
        <w:ind w:left="2580" w:hanging="318"/>
        <w:spacing w:after="0"/>
        <w:tabs>
          <w:tab w:leader="none" w:pos="2580"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 of the Securities Act of 1933;</w:t>
      </w:r>
    </w:p>
    <w:p>
      <w:pPr>
        <w:spacing w:after="0" w:line="102" w:lineRule="exact"/>
        <w:rPr>
          <w:rFonts w:ascii="Times New Roman" w:cs="Times New Roman" w:eastAsia="Times New Roman" w:hAnsi="Times New Roman"/>
          <w:sz w:val="13"/>
          <w:szCs w:val="13"/>
          <w:color w:val="auto"/>
        </w:rPr>
      </w:pPr>
    </w:p>
    <w:p>
      <w:pPr>
        <w:ind w:left="2580" w:right="459" w:hanging="318"/>
        <w:spacing w:after="0" w:line="265" w:lineRule="auto"/>
        <w:tabs>
          <w:tab w:leader="none" w:pos="2580"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table in the effective registration statement; and</w:t>
      </w:r>
    </w:p>
    <w:p>
      <w:pPr>
        <w:spacing w:after="0" w:line="66" w:lineRule="exact"/>
        <w:rPr>
          <w:rFonts w:ascii="Times New Roman" w:cs="Times New Roman" w:eastAsia="Times New Roman" w:hAnsi="Times New Roman"/>
          <w:sz w:val="13"/>
          <w:szCs w:val="13"/>
          <w:color w:val="auto"/>
        </w:rPr>
      </w:pPr>
    </w:p>
    <w:p>
      <w:pPr>
        <w:ind w:left="2580" w:right="519" w:hanging="318"/>
        <w:spacing w:after="0" w:line="298" w:lineRule="auto"/>
        <w:tabs>
          <w:tab w:leader="none" w:pos="2580"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31" w:lineRule="exact"/>
        <w:rPr>
          <w:sz w:val="20"/>
          <w:szCs w:val="20"/>
          <w:color w:val="auto"/>
        </w:rPr>
      </w:pPr>
    </w:p>
    <w:p>
      <w:pPr>
        <w:ind w:left="1520" w:right="419" w:firstLine="329"/>
        <w:spacing w:after="0" w:line="273" w:lineRule="auto"/>
        <w:rPr>
          <w:sz w:val="20"/>
          <w:szCs w:val="20"/>
          <w:color w:val="auto"/>
        </w:rPr>
      </w:pP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paragraphs (a)(1)(i), (ii) and (iii) do not apply if the information required to be included in a post-effective amendment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59" w:lineRule="exact"/>
        <w:rPr>
          <w:sz w:val="20"/>
          <w:szCs w:val="20"/>
          <w:color w:val="auto"/>
        </w:rPr>
      </w:pPr>
    </w:p>
    <w:p>
      <w:pPr>
        <w:ind w:left="2260" w:right="419" w:hanging="412"/>
        <w:spacing w:after="0" w:line="278" w:lineRule="auto"/>
        <w:tabs>
          <w:tab w:leader="none" w:pos="226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offering thereof.</w:t>
      </w:r>
    </w:p>
    <w:p>
      <w:pPr>
        <w:spacing w:after="0" w:line="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II-4</w:t>
      </w:r>
    </w:p>
    <w:p>
      <w:pPr>
        <w:sectPr>
          <w:pgSz w:w="11900" w:h="16838" w:orient="portrait"/>
          <w:cols w:equalWidth="0" w:num="1">
            <w:col w:w="10159"/>
          </w:cols>
          <w:pgMar w:left="300" w:top="375"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2260" w:right="679" w:hanging="412"/>
        <w:spacing w:after="0" w:line="298" w:lineRule="auto"/>
        <w:tabs>
          <w:tab w:leader="none" w:pos="22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w:t>
      </w:r>
    </w:p>
    <w:p>
      <w:pPr>
        <w:spacing w:after="0" w:line="43" w:lineRule="exact"/>
        <w:rPr>
          <w:sz w:val="20"/>
          <w:szCs w:val="20"/>
          <w:color w:val="auto"/>
        </w:rPr>
      </w:pPr>
    </w:p>
    <w:p>
      <w:pPr>
        <w:ind w:left="2260" w:hanging="412"/>
        <w:spacing w:after="0"/>
        <w:tabs>
          <w:tab w:leader="none" w:pos="2260"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under the Securities Act of 1933 to any purchaser:</w:t>
      </w:r>
    </w:p>
    <w:p>
      <w:pPr>
        <w:spacing w:after="0" w:line="102" w:lineRule="exact"/>
        <w:rPr>
          <w:rFonts w:ascii="Times New Roman" w:cs="Times New Roman" w:eastAsia="Times New Roman" w:hAnsi="Times New Roman"/>
          <w:sz w:val="13"/>
          <w:szCs w:val="13"/>
          <w:color w:val="auto"/>
        </w:rPr>
      </w:pPr>
    </w:p>
    <w:p>
      <w:pPr>
        <w:ind w:left="2580" w:right="559" w:hanging="318"/>
        <w:spacing w:after="0" w:line="298" w:lineRule="auto"/>
        <w:tabs>
          <w:tab w:leader="none" w:pos="2580" w:val="left"/>
        </w:tabs>
        <w:numPr>
          <w:ilvl w:val="2"/>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2" w:lineRule="exact"/>
        <w:rPr>
          <w:rFonts w:ascii="Times New Roman" w:cs="Times New Roman" w:eastAsia="Times New Roman" w:hAnsi="Times New Roman"/>
          <w:sz w:val="13"/>
          <w:szCs w:val="13"/>
          <w:color w:val="auto"/>
        </w:rPr>
      </w:pPr>
    </w:p>
    <w:p>
      <w:pPr>
        <w:ind w:left="2580" w:right="399" w:hanging="318"/>
        <w:spacing w:after="0" w:line="262" w:lineRule="auto"/>
        <w:tabs>
          <w:tab w:leader="none" w:pos="2580" w:val="left"/>
        </w:tabs>
        <w:numPr>
          <w:ilvl w:val="2"/>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0" w:lineRule="exact"/>
        <w:rPr>
          <w:rFonts w:ascii="Times New Roman" w:cs="Times New Roman" w:eastAsia="Times New Roman" w:hAnsi="Times New Roman"/>
          <w:sz w:val="13"/>
          <w:szCs w:val="13"/>
          <w:color w:val="auto"/>
        </w:rPr>
      </w:pPr>
    </w:p>
    <w:p>
      <w:pPr>
        <w:ind w:left="2260" w:right="419" w:hanging="412"/>
        <w:spacing w:after="0" w:line="269" w:lineRule="auto"/>
        <w:tabs>
          <w:tab w:leader="none" w:pos="2260"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0" w:lineRule="exact"/>
        <w:rPr>
          <w:rFonts w:ascii="Times New Roman" w:cs="Times New Roman" w:eastAsia="Times New Roman" w:hAnsi="Times New Roman"/>
          <w:sz w:val="13"/>
          <w:szCs w:val="13"/>
          <w:color w:val="auto"/>
        </w:rPr>
      </w:pPr>
    </w:p>
    <w:p>
      <w:pPr>
        <w:ind w:left="2580" w:right="519" w:hanging="318"/>
        <w:spacing w:after="0" w:line="298" w:lineRule="auto"/>
        <w:tabs>
          <w:tab w:leader="none" w:pos="2580" w:val="left"/>
        </w:tabs>
        <w:numPr>
          <w:ilvl w:val="2"/>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 Rule 424;</w:t>
      </w:r>
    </w:p>
    <w:p>
      <w:pPr>
        <w:spacing w:after="0" w:line="42" w:lineRule="exact"/>
        <w:rPr>
          <w:rFonts w:ascii="Times New Roman" w:cs="Times New Roman" w:eastAsia="Times New Roman" w:hAnsi="Times New Roman"/>
          <w:sz w:val="13"/>
          <w:szCs w:val="13"/>
          <w:color w:val="auto"/>
        </w:rPr>
      </w:pPr>
    </w:p>
    <w:p>
      <w:pPr>
        <w:ind w:left="2580" w:right="559" w:hanging="318"/>
        <w:spacing w:after="0" w:line="298" w:lineRule="auto"/>
        <w:tabs>
          <w:tab w:leader="none" w:pos="2580" w:val="left"/>
        </w:tabs>
        <w:numPr>
          <w:ilvl w:val="2"/>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 or used or referred to by the undersigned registrant;</w:t>
      </w:r>
    </w:p>
    <w:p>
      <w:pPr>
        <w:spacing w:after="0" w:line="42" w:lineRule="exact"/>
        <w:rPr>
          <w:rFonts w:ascii="Times New Roman" w:cs="Times New Roman" w:eastAsia="Times New Roman" w:hAnsi="Times New Roman"/>
          <w:sz w:val="13"/>
          <w:szCs w:val="13"/>
          <w:color w:val="auto"/>
        </w:rPr>
      </w:pPr>
    </w:p>
    <w:p>
      <w:pPr>
        <w:ind w:left="2580" w:right="779" w:hanging="318"/>
        <w:spacing w:after="0" w:line="298" w:lineRule="auto"/>
        <w:tabs>
          <w:tab w:leader="none" w:pos="2580" w:val="left"/>
        </w:tabs>
        <w:numPr>
          <w:ilvl w:val="2"/>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42" w:lineRule="exact"/>
        <w:rPr>
          <w:rFonts w:ascii="Times New Roman" w:cs="Times New Roman" w:eastAsia="Times New Roman" w:hAnsi="Times New Roman"/>
          <w:sz w:val="13"/>
          <w:szCs w:val="13"/>
          <w:color w:val="auto"/>
        </w:rPr>
      </w:pPr>
    </w:p>
    <w:p>
      <w:pPr>
        <w:ind w:left="2580" w:hanging="318"/>
        <w:spacing w:after="0"/>
        <w:tabs>
          <w:tab w:leader="none" w:pos="2580" w:val="left"/>
        </w:tabs>
        <w:numPr>
          <w:ilvl w:val="2"/>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102" w:lineRule="exact"/>
        <w:rPr>
          <w:rFonts w:ascii="Times New Roman" w:cs="Times New Roman" w:eastAsia="Times New Roman" w:hAnsi="Times New Roman"/>
          <w:sz w:val="13"/>
          <w:szCs w:val="13"/>
          <w:color w:val="auto"/>
        </w:rPr>
      </w:pPr>
    </w:p>
    <w:p>
      <w:pPr>
        <w:ind w:left="1840" w:right="579" w:hanging="315"/>
        <w:spacing w:after="0" w:line="269" w:lineRule="auto"/>
        <w:tabs>
          <w:tab w:leader="none" w:pos="18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1" w:lineRule="exact"/>
        <w:rPr>
          <w:sz w:val="20"/>
          <w:szCs w:val="20"/>
          <w:color w:val="auto"/>
        </w:rPr>
      </w:pPr>
    </w:p>
    <w:p>
      <w:pPr>
        <w:ind w:left="1840" w:right="459" w:hanging="315"/>
        <w:spacing w:after="0" w:line="298" w:lineRule="auto"/>
        <w:tabs>
          <w:tab w:leader="none" w:pos="18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of 1933 may be permitted to directors, officers and controlling persons of the registrant pursuant to the foregoing provisions, or</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II-5</w:t>
      </w:r>
    </w:p>
    <w:p>
      <w:pPr>
        <w:sectPr>
          <w:pgSz w:w="11900" w:h="16838" w:orient="portrait"/>
          <w:cols w:equalWidth="0" w:num="1">
            <w:col w:w="10159"/>
          </w:cols>
          <w:pgMar w:left="300" w:top="375"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840" w:right="399"/>
        <w:spacing w:after="0" w:line="266" w:lineRule="auto"/>
        <w:rPr>
          <w:sz w:val="20"/>
          <w:szCs w:val="20"/>
          <w:color w:val="auto"/>
        </w:rPr>
      </w:pPr>
      <w:r>
        <w:rPr>
          <w:rFonts w:ascii="Times New Roman" w:cs="Times New Roman" w:eastAsia="Times New Roman" w:hAnsi="Times New Roman"/>
          <w:sz w:val="13"/>
          <w:szCs w:val="13"/>
          <w:color w:val="auto"/>
        </w:rPr>
        <w:t>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27" w:lineRule="exact"/>
        <w:rPr>
          <w:sz w:val="20"/>
          <w:szCs w:val="20"/>
          <w:color w:val="auto"/>
        </w:rPr>
      </w:pPr>
    </w:p>
    <w:p>
      <w:pPr>
        <w:jc w:val="both"/>
        <w:ind w:left="1840" w:right="879" w:hanging="315"/>
        <w:spacing w:after="0" w:line="278" w:lineRule="auto"/>
        <w:tabs>
          <w:tab w:leader="none" w:pos="18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II-6</w:t>
      </w:r>
    </w:p>
    <w:p>
      <w:pPr>
        <w:sectPr>
          <w:pgSz w:w="11900" w:h="16838" w:orient="portrait"/>
          <w:cols w:equalWidth="0" w:num="1">
            <w:col w:w="10159"/>
          </w:cols>
          <w:pgMar w:left="300" w:top="375"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8" w:lineRule="exact"/>
        <w:rPr>
          <w:sz w:val="20"/>
          <w:szCs w:val="20"/>
          <w:color w:val="auto"/>
        </w:rPr>
      </w:pPr>
    </w:p>
    <w:p>
      <w:pPr>
        <w:ind w:left="1520" w:right="419"/>
        <w:spacing w:after="0" w:line="27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as amended, the Registrant, Plus Therapeutics, Inc., certifies that it has reasonable grounds to believe that it meets all of the requirements for filing on Form S-3 and has duly caused this registration statement to be signed on its behalf by the undersigned, thereunto duly authorized, in the city of Houston, State of Texas, on June 1, 2026.</w:t>
      </w:r>
    </w:p>
    <w:p>
      <w:pPr>
        <w:spacing w:after="0" w:line="14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PLUS THERAPEUTICS, INC.</w:t>
      </w:r>
    </w:p>
    <w:p>
      <w:pPr>
        <w:spacing w:after="0" w:line="17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By: /s/ Marc H. Hedrick, M.D.</w:t>
      </w:r>
    </w:p>
    <w:p>
      <w:pPr>
        <w:spacing w:after="0" w:line="2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Marc H. Hedrick,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-93980</wp:posOffset>
            </wp:positionV>
            <wp:extent cx="194246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1942465" cy="6350"/>
                    </a:xfrm>
                    <a:prstGeom prst="rect">
                      <a:avLst/>
                    </a:prstGeom>
                    <a:noFill/>
                  </pic:spPr>
                </pic:pic>
              </a:graphicData>
            </a:graphic>
          </wp:anchor>
        </w:drawing>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pacing w:after="0" w:line="161" w:lineRule="exact"/>
        <w:rPr>
          <w:sz w:val="20"/>
          <w:szCs w:val="20"/>
          <w:color w:val="auto"/>
        </w:rPr>
      </w:pPr>
    </w:p>
    <w:p>
      <w:pPr>
        <w:ind w:left="1520" w:right="439"/>
        <w:spacing w:after="0" w:line="264" w:lineRule="auto"/>
        <w:rPr>
          <w:sz w:val="20"/>
          <w:szCs w:val="20"/>
          <w:color w:val="auto"/>
        </w:rPr>
      </w:pPr>
      <w:r>
        <w:rPr>
          <w:rFonts w:ascii="Times New Roman" w:cs="Times New Roman" w:eastAsia="Times New Roman" w:hAnsi="Times New Roman"/>
          <w:sz w:val="13"/>
          <w:szCs w:val="13"/>
          <w:color w:val="auto"/>
        </w:rPr>
        <w:t>KNOW ALL BY THESE PRESENTS, that each person whose signature appears below constitutes and appoints Marc H. Hedrick, M.D. and Andrew Sims, as his or her true and lawful attorney-in-fact and agent, with the full power of substitution, for him or her and in his or her name, place or stead, in any and all capacities, to sign any and all amendments to this registration statement (including post-effective amendments), and any other registration statements for the same offering pursuant to Rule 462(b) of the Securities Act of 1933, as amended,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38" w:lineRule="exact"/>
        <w:rPr>
          <w:sz w:val="20"/>
          <w:szCs w:val="20"/>
          <w:color w:val="auto"/>
        </w:rPr>
      </w:pPr>
    </w:p>
    <w:p>
      <w:pPr>
        <w:ind w:left="1520" w:right="759"/>
        <w:spacing w:after="0" w:line="29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as amended, this registration statement has been signed by the following persons in the capacities and on the dates indicated.</w:t>
      </w:r>
    </w:p>
    <w:p>
      <w:pPr>
        <w:spacing w:after="0" w:line="127" w:lineRule="exact"/>
        <w:rPr>
          <w:sz w:val="20"/>
          <w:szCs w:val="20"/>
          <w:color w:val="auto"/>
        </w:rPr>
      </w:pPr>
    </w:p>
    <w:tbl>
      <w:tblPr>
        <w:tblLayout w:type="fixed"/>
        <w:tblInd w:w="1520" w:type="dxa"/>
        <w:tblCellMar>
          <w:top w:w="0" w:type="dxa"/>
          <w:left w:w="0" w:type="dxa"/>
          <w:bottom w:w="0" w:type="dxa"/>
          <w:right w:w="0" w:type="dxa"/>
        </w:tblCellMar>
      </w:tblPr>
      <w:tr>
        <w:trPr>
          <w:trHeight w:val="140"/>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37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303"/>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Richard J. Hawkins</w:t>
            </w: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3"/>
                <w:szCs w:val="13"/>
                <w:i w:val="1"/>
                <w:iCs w:val="1"/>
                <w:color w:val="auto"/>
              </w:rPr>
              <w:t>Chairman of the Board</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1, 2026</w:t>
            </w:r>
          </w:p>
        </w:tc>
      </w:tr>
      <w:tr>
        <w:trPr>
          <w:trHeight w:val="164"/>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Richard J. Hawkins</w:t>
            </w:r>
          </w:p>
        </w:tc>
        <w:tc>
          <w:tcPr>
            <w:tcW w:w="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21"/>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Marc H. Hedrick, MD</w:t>
            </w: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 (Principal Executive Officer)</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1, 2026</w:t>
            </w:r>
          </w:p>
        </w:tc>
      </w:tr>
      <w:tr>
        <w:trPr>
          <w:trHeight w:val="164"/>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Marc H. Hedrick, MD</w:t>
            </w:r>
          </w:p>
        </w:tc>
        <w:tc>
          <w:tcPr>
            <w:tcW w:w="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20"/>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Andrew Sims</w:t>
            </w: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3"/>
                <w:szCs w:val="13"/>
                <w:i w:val="1"/>
                <w:iCs w:val="1"/>
                <w:color w:val="auto"/>
              </w:rPr>
              <w:t>Chief Financial Officer and VP of Finance (Principal Financial and</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1, 2026</w:t>
            </w:r>
          </w:p>
        </w:tc>
      </w:tr>
      <w:tr>
        <w:trPr>
          <w:trHeight w:val="164"/>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Andrew Sims</w:t>
            </w:r>
          </w:p>
        </w:tc>
        <w:tc>
          <w:tcPr>
            <w:tcW w:w="80" w:type="dxa"/>
            <w:vAlign w:val="bottom"/>
          </w:tcPr>
          <w:p>
            <w:pPr>
              <w:spacing w:after="0"/>
              <w:rPr>
                <w:sz w:val="14"/>
                <w:szCs w:val="14"/>
                <w:color w:val="auto"/>
              </w:rPr>
            </w:pPr>
          </w:p>
        </w:tc>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3"/>
                <w:szCs w:val="13"/>
                <w:i w:val="1"/>
                <w:iCs w:val="1"/>
                <w:color w:val="auto"/>
              </w:rPr>
              <w:t>Accounting Officer)</w:t>
            </w:r>
          </w:p>
        </w:tc>
        <w:tc>
          <w:tcPr>
            <w:tcW w:w="1500" w:type="dxa"/>
            <w:vAlign w:val="bottom"/>
          </w:tcPr>
          <w:p>
            <w:pPr>
              <w:spacing w:after="0"/>
              <w:rPr>
                <w:sz w:val="14"/>
                <w:szCs w:val="14"/>
                <w:color w:val="auto"/>
              </w:rPr>
            </w:pPr>
          </w:p>
        </w:tc>
      </w:tr>
      <w:tr>
        <w:trPr>
          <w:trHeight w:val="321"/>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An van Es-Johansson, MD</w:t>
            </w: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3"/>
                <w:szCs w:val="13"/>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1, 2026</w:t>
            </w:r>
          </w:p>
        </w:tc>
      </w:tr>
      <w:tr>
        <w:trPr>
          <w:trHeight w:val="164"/>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An van Es-Johansson, MD</w:t>
            </w:r>
          </w:p>
        </w:tc>
        <w:tc>
          <w:tcPr>
            <w:tcW w:w="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21"/>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Howard Clowes</w:t>
            </w: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3"/>
                <w:szCs w:val="13"/>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1, 2026</w:t>
            </w:r>
          </w:p>
        </w:tc>
      </w:tr>
      <w:tr>
        <w:trPr>
          <w:trHeight w:val="164"/>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Howard Clowes</w:t>
            </w:r>
          </w:p>
        </w:tc>
        <w:tc>
          <w:tcPr>
            <w:tcW w:w="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21"/>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Kyle Guse</w:t>
            </w: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3"/>
                <w:szCs w:val="13"/>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1, 2026</w:t>
            </w:r>
          </w:p>
        </w:tc>
      </w:tr>
      <w:tr>
        <w:trPr>
          <w:trHeight w:val="164"/>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Kyle Guse</w:t>
            </w:r>
          </w:p>
        </w:tc>
        <w:tc>
          <w:tcPr>
            <w:tcW w:w="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21"/>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Ronald A. Andrews</w:t>
            </w: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3"/>
                <w:szCs w:val="13"/>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1, 2026</w:t>
            </w:r>
          </w:p>
        </w:tc>
      </w:tr>
      <w:tr>
        <w:trPr>
          <w:trHeight w:val="164"/>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Ronald A. Andrews</w:t>
            </w:r>
          </w:p>
        </w:tc>
        <w:tc>
          <w:tcPr>
            <w:tcW w:w="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70"/>
        </w:trPr>
        <w:tc>
          <w:tcPr>
            <w:tcW w:w="2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00" w:type="dxa"/>
            <w:vAlign w:val="bottom"/>
            <w:gridSpan w:val="2"/>
          </w:tcPr>
          <w:p>
            <w:pPr>
              <w:ind w:left="1180"/>
              <w:spacing w:after="0"/>
              <w:rPr>
                <w:sz w:val="20"/>
                <w:szCs w:val="20"/>
                <w:color w:val="auto"/>
              </w:rPr>
            </w:pPr>
            <w:r>
              <w:rPr>
                <w:rFonts w:ascii="Times New Roman" w:cs="Times New Roman" w:eastAsia="Times New Roman" w:hAnsi="Times New Roman"/>
                <w:sz w:val="13"/>
                <w:szCs w:val="13"/>
                <w:color w:val="auto"/>
              </w:rPr>
              <w:t>II-7</w:t>
            </w:r>
          </w:p>
        </w:tc>
        <w:tc>
          <w:tcPr>
            <w:tcW w:w="1500" w:type="dxa"/>
            <w:vAlign w:val="bottom"/>
          </w:tcPr>
          <w:p>
            <w:pPr>
              <w:spacing w:after="0"/>
              <w:rPr>
                <w:sz w:val="23"/>
                <w:szCs w:val="23"/>
                <w:color w:val="auto"/>
              </w:rPr>
            </w:pPr>
          </w:p>
        </w:tc>
      </w:tr>
    </w:tbl>
    <w:p>
      <w:pPr>
        <w:sectPr>
          <w:pgSz w:w="11900" w:h="16838" w:orient="portrait"/>
          <w:cols w:equalWidth="0" w:num="1">
            <w:col w:w="10159"/>
          </w:cols>
          <w:pgMar w:left="300" w:top="375" w:right="1440" w:bottom="1440" w:gutter="0" w:footer="0" w:header="0"/>
        </w:sectPr>
      </w:pPr>
    </w:p>
    <w:bookmarkStart w:id="60" w:name="page61"/>
    <w:bookmarkEnd w:id="60"/>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Exhibit 1.1</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PLUS THERAPEUTICS, INC.</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EQUITY DISTRIBUTION AGREEMENT</w:t>
      </w:r>
    </w:p>
    <w:p>
      <w:pPr>
        <w:spacing w:after="0" w:line="178"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3"/>
          <w:szCs w:val="13"/>
          <w:color w:val="auto"/>
        </w:rPr>
        <w:t>June 1, 2026</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CANACCORD GENUITY LLC</w:t>
      </w:r>
    </w:p>
    <w:p>
      <w:pPr>
        <w:ind w:left="380"/>
        <w:spacing w:after="0" w:line="195" w:lineRule="auto"/>
        <w:rPr>
          <w:sz w:val="20"/>
          <w:szCs w:val="20"/>
          <w:color w:val="auto"/>
        </w:rPr>
      </w:pPr>
      <w:r>
        <w:rPr>
          <w:rFonts w:ascii="Times New Roman" w:cs="Times New Roman" w:eastAsia="Times New Roman" w:hAnsi="Times New Roman"/>
          <w:sz w:val="13"/>
          <w:szCs w:val="13"/>
          <w:color w:val="auto"/>
        </w:rPr>
        <w:t>1 Post Office Square,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color w:val="auto"/>
        </w:rPr>
        <w:t xml:space="preserve"> Floor</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Boston, Massachusetts 02109</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 xml:space="preserve">As further set forth in this agreement (this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xml:space="preserve">), Plus Therapeutics,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proposes to issue and sell</w:t>
      </w:r>
    </w:p>
    <w:p>
      <w:pPr>
        <w:spacing w:after="0" w:line="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 xml:space="preserve">from time to time through Canaccord Genuity LLC (the </w:t>
      </w:r>
      <w:r>
        <w:rPr>
          <w:rFonts w:ascii="Times New Roman" w:cs="Times New Roman" w:eastAsia="Times New Roman" w:hAnsi="Times New Roman"/>
          <w:sz w:val="13"/>
          <w:szCs w:val="13"/>
          <w:b w:val="1"/>
          <w:bCs w:val="1"/>
          <w:i w:val="1"/>
          <w:iCs w:val="1"/>
          <w:color w:val="auto"/>
        </w:rPr>
        <w:t>“Agent”</w:t>
      </w:r>
      <w:r>
        <w:rPr>
          <w:rFonts w:ascii="Times New Roman" w:cs="Times New Roman" w:eastAsia="Times New Roman" w:hAnsi="Times New Roman"/>
          <w:sz w:val="13"/>
          <w:szCs w:val="13"/>
          <w:color w:val="auto"/>
        </w:rPr>
        <w:t>), as sales agent, the Company’s common stock, $0.001 par value per share (the</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i w:val="1"/>
          <w:iCs w:val="1"/>
          <w:color w:val="auto"/>
        </w:rPr>
        <w:t>“Common Shares”</w:t>
      </w:r>
      <w:r>
        <w:rPr>
          <w:rFonts w:ascii="Times New Roman" w:cs="Times New Roman" w:eastAsia="Times New Roman" w:hAnsi="Times New Roman"/>
          <w:sz w:val="13"/>
          <w:szCs w:val="13"/>
          <w:color w:val="auto"/>
        </w:rPr>
        <w:t>) (such Common Shares to be sold pursuant to this Agreement, the</w:t>
      </w:r>
      <w:r>
        <w:rPr>
          <w:rFonts w:ascii="Times New Roman" w:cs="Times New Roman" w:eastAsia="Times New Roman" w:hAnsi="Times New Roman"/>
          <w:sz w:val="13"/>
          <w:szCs w:val="13"/>
          <w:b w:val="1"/>
          <w:bCs w:val="1"/>
          <w:i w:val="1"/>
          <w:iCs w:val="1"/>
          <w:color w:val="auto"/>
        </w:rPr>
        <w:t xml:space="preserve"> “Shares”</w:t>
      </w:r>
      <w:r>
        <w:rPr>
          <w:rFonts w:ascii="Times New Roman" w:cs="Times New Roman" w:eastAsia="Times New Roman" w:hAnsi="Times New Roman"/>
          <w:sz w:val="13"/>
          <w:szCs w:val="13"/>
          <w:color w:val="auto"/>
        </w:rPr>
        <w:t>), having an aggregate offering price of up to</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$17,350,000, on terms set forth herein. Notwithstanding anything to the contrary contained herein, the parties hereto agree that compliance with the</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limitation set forth in Section 2 of this Agreement on the number of Shares issued and sold under this Agreement shall be the sole responsibility of the</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Company, and the Agent shall have no obligation in connection with such compliance.</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The Company hereby confirms its agreement with the Agent with respect to the sale of the Shares.</w:t>
      </w:r>
    </w:p>
    <w:p>
      <w:pPr>
        <w:spacing w:after="0" w:line="89" w:lineRule="exact"/>
        <w:rPr>
          <w:sz w:val="20"/>
          <w:szCs w:val="20"/>
          <w:color w:val="auto"/>
        </w:rPr>
      </w:pPr>
    </w:p>
    <w:p>
      <w:pPr>
        <w:ind w:left="840" w:hanging="126"/>
        <w:spacing w:after="0"/>
        <w:tabs>
          <w:tab w:leader="none" w:pos="8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Representations and Warranties of the Company</w:t>
      </w:r>
      <w:r>
        <w:rPr>
          <w:rFonts w:ascii="Times New Roman" w:cs="Times New Roman" w:eastAsia="Times New Roman" w:hAnsi="Times New Roman"/>
          <w:sz w:val="13"/>
          <w:szCs w:val="13"/>
          <w:color w:val="auto"/>
        </w:rPr>
        <w:t>.</w:t>
      </w:r>
    </w:p>
    <w:p>
      <w:pPr>
        <w:spacing w:after="0" w:line="96" w:lineRule="exact"/>
        <w:rPr>
          <w:rFonts w:ascii="Times New Roman" w:cs="Times New Roman" w:eastAsia="Times New Roman" w:hAnsi="Times New Roman"/>
          <w:sz w:val="13"/>
          <w:szCs w:val="13"/>
          <w:color w:val="auto"/>
        </w:rPr>
      </w:pPr>
    </w:p>
    <w:p>
      <w:pPr>
        <w:ind w:left="380" w:right="539" w:firstLine="747"/>
        <w:spacing w:after="0" w:line="298" w:lineRule="auto"/>
        <w:tabs>
          <w:tab w:leader="none" w:pos="1304"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represents and warrants to, and agrees with, the Agent that as of the date of this Agreement, each Representation Date, each date on which a Placement Notice (as defined in Section 2(a)(i) below) is given, and any date on which Shares are sold hereunder as follows:</w:t>
      </w:r>
    </w:p>
    <w:p>
      <w:pPr>
        <w:spacing w:after="0" w:line="30" w:lineRule="exact"/>
        <w:rPr>
          <w:rFonts w:ascii="Times New Roman" w:cs="Times New Roman" w:eastAsia="Times New Roman" w:hAnsi="Times New Roman"/>
          <w:sz w:val="13"/>
          <w:szCs w:val="13"/>
          <w:color w:val="auto"/>
        </w:rPr>
      </w:pPr>
    </w:p>
    <w:p>
      <w:pPr>
        <w:ind w:left="380" w:right="439" w:firstLine="1076"/>
        <w:spacing w:after="0" w:line="261" w:lineRule="auto"/>
        <w:tabs>
          <w:tab w:leader="none" w:pos="1611" w:val="left"/>
        </w:tabs>
        <w:numPr>
          <w:ilvl w:val="2"/>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Registration Statement and Prospectus</w:t>
      </w:r>
      <w:r>
        <w:rPr>
          <w:rFonts w:ascii="Times New Roman" w:cs="Times New Roman" w:eastAsia="Times New Roman" w:hAnsi="Times New Roman"/>
          <w:sz w:val="13"/>
          <w:szCs w:val="13"/>
          <w:color w:val="auto"/>
        </w:rPr>
        <w:t>. The Company will prepare and file, or has prepared and filed, in accordance with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provisions of the Securities Act of 1933, as amended, and the rules and regulations thereunder (collectively,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xml:space="preserve">), with the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xml:space="preserve">) a registration statement on Form S-3, including a base prospectus, relating to certain securities, including the Common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xml:space="preserve">). The Company has prepared a prospectus supplement to the base prospectus included as part of such registration statement specifically relating to the Shares to be issued from time to time by the Company pursuant to this Agreement (the </w:t>
      </w:r>
      <w:r>
        <w:rPr>
          <w:rFonts w:ascii="Times New Roman" w:cs="Times New Roman" w:eastAsia="Times New Roman" w:hAnsi="Times New Roman"/>
          <w:sz w:val="13"/>
          <w:szCs w:val="13"/>
          <w:b w:val="1"/>
          <w:bCs w:val="1"/>
          <w:i w:val="1"/>
          <w:iCs w:val="1"/>
          <w:color w:val="auto"/>
        </w:rPr>
        <w:t>“Prospectus Supplement”</w:t>
      </w:r>
      <w:r>
        <w:rPr>
          <w:rFonts w:ascii="Times New Roman" w:cs="Times New Roman" w:eastAsia="Times New Roman" w:hAnsi="Times New Roman"/>
          <w:sz w:val="13"/>
          <w:szCs w:val="13"/>
          <w:color w:val="auto"/>
        </w:rPr>
        <w:t xml:space="preserve">). The Company will furnish to the Agent, for use by Agent, copies of the prospectus included as part of such registration statement, as supplemented by the Prospectus Supplement, relating to the Shares. The Company may file one or more additional registration statements from time to time that will contain a base prospectus and a related prospectus supplement, if applicable (which shall be a Prospectus Supplement), with respect to the Shares. Except where the context otherwise requires, any such registration statement, including the amendments thereto, the exhibits and any schedules thereto, the documents otherwise deemed to be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is herein called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xml:space="preserve">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cs="Times New Roman" w:eastAsia="Times New Roman" w:hAnsi="Times New Roman"/>
          <w:sz w:val="13"/>
          <w:szCs w:val="13"/>
          <w:b w:val="1"/>
          <w:bCs w:val="1"/>
          <w:i w:val="1"/>
          <w:iCs w:val="1"/>
          <w:color w:val="auto"/>
        </w:rPr>
        <w:t>“Rule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433”</w:t>
      </w:r>
      <w:r>
        <w:rPr>
          <w:rFonts w:ascii="Times New Roman" w:cs="Times New Roman" w:eastAsia="Times New Roman" w:hAnsi="Times New Roman"/>
          <w:sz w:val="13"/>
          <w:szCs w:val="13"/>
          <w:color w:val="auto"/>
        </w:rPr>
        <w:t>), relating to the Shares, if any, that (i) is required to be filed with the Commission by the Company or (ii) is exempt from filing pursuant to Rule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433(d)(5)(i), in each case in the form filed or required to be filed with the Commission or, if not required to be filed, in the form retained in the Company’s records pursuant to Rule 433(g), is herein called the</w:t>
      </w:r>
    </w:p>
    <w:p>
      <w:pPr>
        <w:sectPr>
          <w:pgSz w:w="11900" w:h="16838" w:orient="portrait"/>
          <w:cols w:equalWidth="0" w:num="1">
            <w:col w:w="9019"/>
          </w:cols>
          <w:pgMar w:left="1440" w:top="123" w:right="1440" w:bottom="1440" w:gutter="0" w:footer="0" w:header="0"/>
        </w:sectPr>
      </w:pPr>
    </w:p>
    <w:bookmarkStart w:id="61" w:name="page62"/>
    <w:bookmarkEnd w:id="61"/>
    <w:p>
      <w:pPr>
        <w:ind w:left="380" w:right="419"/>
        <w:spacing w:after="0" w:line="268" w:lineRule="auto"/>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“Prospectus.” </w:t>
      </w:r>
      <w:r>
        <w:rPr>
          <w:rFonts w:ascii="Times New Roman" w:cs="Times New Roman" w:eastAsia="Times New Roman" w:hAnsi="Times New Roman"/>
          <w:sz w:val="13"/>
          <w:szCs w:val="13"/>
          <w:color w:val="auto"/>
        </w:rPr>
        <w:t>Any reference herein to the Registration Statement, the Prospectus or any amendment or supplement thereto shall be deemed to refer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the Electronic Data Gathering Analysis and Retrieval System (“</w:t>
      </w:r>
      <w:r>
        <w:rPr>
          <w:rFonts w:ascii="Times New Roman" w:cs="Times New Roman" w:eastAsia="Times New Roman" w:hAnsi="Times New Roman"/>
          <w:sz w:val="13"/>
          <w:szCs w:val="13"/>
          <w:b w:val="1"/>
          <w:bCs w:val="1"/>
          <w:i w:val="1"/>
          <w:iCs w:val="1"/>
          <w:color w:val="auto"/>
        </w:rPr>
        <w:t>EDGAR”</w:t>
      </w:r>
      <w:r>
        <w:rPr>
          <w:rFonts w:ascii="Times New Roman" w:cs="Times New Roman" w:eastAsia="Times New Roman" w:hAnsi="Times New Roman"/>
          <w:sz w:val="13"/>
          <w:szCs w:val="13"/>
          <w:color w:val="auto"/>
        </w:rPr>
        <w:t>).</w:t>
      </w:r>
    </w:p>
    <w:p>
      <w:pPr>
        <w:spacing w:after="0" w:line="50" w:lineRule="exact"/>
        <w:rPr>
          <w:sz w:val="20"/>
          <w:szCs w:val="20"/>
          <w:color w:val="auto"/>
        </w:rPr>
      </w:pPr>
    </w:p>
    <w:p>
      <w:pPr>
        <w:ind w:left="380" w:right="399" w:firstLine="1076"/>
        <w:spacing w:after="0" w:line="265" w:lineRule="auto"/>
        <w:tabs>
          <w:tab w:leader="none" w:pos="1649"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Stop Order; Form S-3 Eligibility</w:t>
      </w:r>
      <w:r>
        <w:rPr>
          <w:rFonts w:ascii="Times New Roman" w:cs="Times New Roman" w:eastAsia="Times New Roman" w:hAnsi="Times New Roman"/>
          <w:sz w:val="13"/>
          <w:szCs w:val="13"/>
          <w:color w:val="auto"/>
        </w:rPr>
        <w:t>. No stop order preventing or suspending the filing or the effectiveness of the Registration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Statement, or any Rule 462(b) Registration Statement, has been issued by the Commission, and no proceedings for such purpose have been instituted or are pending or, to the knowledge of the Company, contemplated or threatened by the Commission. The Company has complied, to the Commission’s satisfaction, with all requests of the Commission for additional or supplemental information. The Company meets the requirements for use of Form S-3 under the Securities Act. The sale of the Shares hereunder meets the requirements of General Instruction I.B.6. of Form S-3. The aggregate market value of securities sold by or on behalf of the Company pursuant to General Instruction I.B.6. of Form S-3 during the 12-month period immediately prior to, and including, the sale of those Shares described in the Prospectus Supplement pursuant to this Agreement is no more than one-third of the aggregate market value of the voting and non-voting common equity held by non-affiliates of the Company, as determined pursuant to General Instruction I.B.6. of Form S-3.</w:t>
      </w:r>
    </w:p>
    <w:p>
      <w:pPr>
        <w:spacing w:after="0" w:line="214" w:lineRule="exact"/>
        <w:rPr>
          <w:rFonts w:ascii="Times New Roman" w:cs="Times New Roman" w:eastAsia="Times New Roman" w:hAnsi="Times New Roman"/>
          <w:sz w:val="13"/>
          <w:szCs w:val="13"/>
          <w:color w:val="auto"/>
        </w:rPr>
      </w:pPr>
    </w:p>
    <w:p>
      <w:pPr>
        <w:ind w:left="380" w:right="399" w:firstLine="1076"/>
        <w:spacing w:after="0" w:line="263" w:lineRule="auto"/>
        <w:tabs>
          <w:tab w:leader="none" w:pos="1686"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Material Misstatements or Omissions</w:t>
      </w:r>
      <w:r>
        <w:rPr>
          <w:rFonts w:ascii="Times New Roman" w:cs="Times New Roman" w:eastAsia="Times New Roman" w:hAnsi="Times New Roman"/>
          <w:sz w:val="13"/>
          <w:szCs w:val="13"/>
          <w:color w:val="auto"/>
        </w:rPr>
        <w:t>. The Prospectus when filed, complied, and as amended or supplemented, if applicable,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will comply in all material respects with the Securities Act. Each of the Registration Statement, any Rule 462(b) Registration Statement, the Prospectus and any post-effective amendments or supplements thereto, at the time it became or becomes effective or its date, as applicable, and as of each Settlement Date (as defined in Section 2(a)(vii) below), complied and will comply in all material respects with the Securities Act, and as of each effective date and each Settlement Date, did not and will not contain any untrue statement of a material fact or omit to state a material fact required to be stated therein or necessary to make the statements therein not misleading. The Prospectus, as amended or supplemented, as of its date, did not and, as of each of the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There are no contracts or other documents required to be described in the Prospectus or to be filed as exhibits to the Registration Statement which have not been described or filed as required.</w:t>
      </w:r>
    </w:p>
    <w:p>
      <w:pPr>
        <w:spacing w:after="0" w:line="53" w:lineRule="exact"/>
        <w:rPr>
          <w:rFonts w:ascii="Times New Roman" w:cs="Times New Roman" w:eastAsia="Times New Roman" w:hAnsi="Times New Roman"/>
          <w:sz w:val="13"/>
          <w:szCs w:val="13"/>
          <w:color w:val="auto"/>
        </w:rPr>
      </w:pPr>
    </w:p>
    <w:p>
      <w:pPr>
        <w:ind w:left="380" w:right="439" w:firstLine="1076"/>
        <w:spacing w:after="0" w:line="273" w:lineRule="auto"/>
        <w:tabs>
          <w:tab w:leader="none" w:pos="1679"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Eligible Issuer</w:t>
      </w:r>
      <w:r>
        <w:rPr>
          <w:rFonts w:ascii="Times New Roman" w:cs="Times New Roman" w:eastAsia="Times New Roman" w:hAnsi="Times New Roman"/>
          <w:sz w:val="13"/>
          <w:szCs w:val="13"/>
          <w:color w:val="auto"/>
        </w:rPr>
        <w:t>. The Company is not an “ineligible issuer” (as defined in Rule 405 under the Securities Act) as of the eligibility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determination date for purposes of Rules 164 and 433 under the Securities Act with respect to the offering of the Shares contemplated by the Registration Statement; the parties hereto agree and understand that the content of any and all “road shows” (as defined in Rule 433 under the Securities Act) related to the offering of the Shares contemplated hereby is solely the property of the Company.</w:t>
      </w:r>
    </w:p>
    <w:p>
      <w:pPr>
        <w:spacing w:after="0" w:line="46" w:lineRule="exact"/>
        <w:rPr>
          <w:rFonts w:ascii="Times New Roman" w:cs="Times New Roman" w:eastAsia="Times New Roman" w:hAnsi="Times New Roman"/>
          <w:sz w:val="13"/>
          <w:szCs w:val="13"/>
          <w:color w:val="auto"/>
        </w:rPr>
      </w:pPr>
    </w:p>
    <w:p>
      <w:pPr>
        <w:ind w:left="380" w:right="439" w:firstLine="1076"/>
        <w:spacing w:after="0" w:line="265" w:lineRule="auto"/>
        <w:tabs>
          <w:tab w:leader="none" w:pos="1641"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Financial Statements</w:t>
      </w:r>
      <w:r>
        <w:rPr>
          <w:rFonts w:ascii="Times New Roman" w:cs="Times New Roman" w:eastAsia="Times New Roman" w:hAnsi="Times New Roman"/>
          <w:sz w:val="13"/>
          <w:szCs w:val="13"/>
          <w:color w:val="auto"/>
        </w:rPr>
        <w:t>. The historical financial statements (including the related notes and supporting schedules) to be included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incorporated by reference, in the Registration Statement, and the Prospectus comply as to form in all material respects with the requirements of Regulation S-X under the Securities Act (</w:t>
      </w:r>
      <w:r>
        <w:rPr>
          <w:rFonts w:ascii="Times New Roman" w:cs="Times New Roman" w:eastAsia="Times New Roman" w:hAnsi="Times New Roman"/>
          <w:sz w:val="13"/>
          <w:szCs w:val="13"/>
          <w:b w:val="1"/>
          <w:bCs w:val="1"/>
          <w:i w:val="1"/>
          <w:iCs w:val="1"/>
          <w:color w:val="auto"/>
        </w:rPr>
        <w:t>“Regulation S-X”</w:t>
      </w:r>
      <w:r>
        <w:rPr>
          <w:rFonts w:ascii="Times New Roman" w:cs="Times New Roman" w:eastAsia="Times New Roman" w:hAnsi="Times New Roman"/>
          <w:sz w:val="13"/>
          <w:szCs w:val="13"/>
          <w:color w:val="auto"/>
        </w:rPr>
        <w:t>) and present fairly in all material respects, the financial condition, results of operations and cash flows of the entities purported to be shown thereby at the dates and for the periods indicated and have been prepared in conformity with generally accepted accounting principles in the United States applied on a consistent basis throughout the periods involved. There are no financial statements (historical or pro forma) that are required to be included in the Registration Statement or the Prospectus that are not so included as required. The interactive data in eXtensible Business Reporting Language (</w:t>
      </w:r>
      <w:r>
        <w:rPr>
          <w:rFonts w:ascii="Times New Roman" w:cs="Times New Roman" w:eastAsia="Times New Roman" w:hAnsi="Times New Roman"/>
          <w:sz w:val="13"/>
          <w:szCs w:val="13"/>
          <w:b w:val="1"/>
          <w:bCs w:val="1"/>
          <w:i w:val="1"/>
          <w:iCs w:val="1"/>
          <w:color w:val="auto"/>
        </w:rPr>
        <w:t>“XBRL”</w:t>
      </w:r>
      <w:r>
        <w:rPr>
          <w:rFonts w:ascii="Times New Roman" w:cs="Times New Roman" w:eastAsia="Times New Roman" w:hAnsi="Times New Roman"/>
          <w:sz w:val="13"/>
          <w:szCs w:val="13"/>
          <w:color w:val="auto"/>
        </w:rPr>
        <w:t>) included or incorporated by reference in the Registration Statement and the Prospectus fairly present the information called for in all material respects and have been prepared in accordance with the Commission’s rules and guidelines applicable thereto.</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4" w:right="1440" w:bottom="1440" w:gutter="0" w:footer="0" w:header="0"/>
        </w:sectPr>
      </w:pPr>
    </w:p>
    <w:bookmarkStart w:id="62" w:name="page63"/>
    <w:bookmarkEnd w:id="62"/>
    <w:p>
      <w:pPr>
        <w:ind w:left="380" w:right="419" w:firstLine="1076"/>
        <w:spacing w:after="0" w:line="267" w:lineRule="auto"/>
        <w:tabs>
          <w:tab w:leader="none" w:pos="1679"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No Off-Balance Sheet Transactions</w:t>
      </w:r>
      <w:r>
        <w:rPr>
          <w:rFonts w:ascii="Times New Roman" w:cs="Times New Roman" w:eastAsia="Times New Roman" w:hAnsi="Times New Roman"/>
          <w:sz w:val="13"/>
          <w:szCs w:val="13"/>
          <w:color w:val="auto"/>
        </w:rPr>
        <w:t>. There are no transactions, arrangements and other relationships between and/or among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 and/or, to the knowledge of the Company, any of its affiliates and any unconsolidated entity, including, but not limited to, any structural finance, special purpose or limited purpose entity (each, an “</w:t>
      </w:r>
      <w:r>
        <w:rPr>
          <w:rFonts w:ascii="Times New Roman" w:cs="Times New Roman" w:eastAsia="Times New Roman" w:hAnsi="Times New Roman"/>
          <w:sz w:val="13"/>
          <w:szCs w:val="13"/>
          <w:b w:val="1"/>
          <w:bCs w:val="1"/>
          <w:i w:val="1"/>
          <w:iCs w:val="1"/>
          <w:color w:val="auto"/>
        </w:rPr>
        <w:t>Off-Balance Sheet Transaction”</w:t>
      </w:r>
      <w:r>
        <w:rPr>
          <w:rFonts w:ascii="Times New Roman" w:cs="Times New Roman" w:eastAsia="Times New Roman" w:hAnsi="Times New Roman"/>
          <w:sz w:val="13"/>
          <w:szCs w:val="13"/>
          <w:color w:val="auto"/>
        </w:rPr>
        <w:t>) that could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and are required to be described in the Prospectus, which have not been described as required.</w:t>
      </w:r>
    </w:p>
    <w:p>
      <w:pPr>
        <w:spacing w:after="0" w:line="50" w:lineRule="exact"/>
        <w:rPr>
          <w:rFonts w:ascii="Times New Roman" w:cs="Times New Roman" w:eastAsia="Times New Roman" w:hAnsi="Times New Roman"/>
          <w:sz w:val="13"/>
          <w:szCs w:val="13"/>
          <w:color w:val="auto"/>
        </w:rPr>
      </w:pPr>
    </w:p>
    <w:p>
      <w:pPr>
        <w:ind w:left="380" w:right="679" w:firstLine="1076"/>
        <w:spacing w:after="0" w:line="274" w:lineRule="auto"/>
        <w:tabs>
          <w:tab w:leader="none" w:pos="1716"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Auditor Independence. </w:t>
      </w:r>
      <w:r>
        <w:rPr>
          <w:rFonts w:ascii="Times New Roman" w:cs="Times New Roman" w:eastAsia="Times New Roman" w:hAnsi="Times New Roman"/>
          <w:sz w:val="13"/>
          <w:szCs w:val="13"/>
          <w:color w:val="auto"/>
        </w:rPr>
        <w:t>Each of BDO USA, P.C. (“</w:t>
      </w:r>
      <w:r>
        <w:rPr>
          <w:rFonts w:ascii="Times New Roman" w:cs="Times New Roman" w:eastAsia="Times New Roman" w:hAnsi="Times New Roman"/>
          <w:sz w:val="13"/>
          <w:szCs w:val="13"/>
          <w:b w:val="1"/>
          <w:bCs w:val="1"/>
          <w:i w:val="1"/>
          <w:iCs w:val="1"/>
          <w:color w:val="auto"/>
        </w:rPr>
        <w:t>BDO</w:t>
      </w:r>
      <w:r>
        <w:rPr>
          <w:rFonts w:ascii="Times New Roman" w:cs="Times New Roman" w:eastAsia="Times New Roman" w:hAnsi="Times New Roman"/>
          <w:sz w:val="13"/>
          <w:szCs w:val="13"/>
          <w:color w:val="auto"/>
        </w:rPr>
        <w:t>”) and CBIZ CPAs P.C. (“</w:t>
      </w:r>
      <w:r>
        <w:rPr>
          <w:rFonts w:ascii="Times New Roman" w:cs="Times New Roman" w:eastAsia="Times New Roman" w:hAnsi="Times New Roman"/>
          <w:sz w:val="13"/>
          <w:szCs w:val="13"/>
          <w:b w:val="1"/>
          <w:bCs w:val="1"/>
          <w:i w:val="1"/>
          <w:iCs w:val="1"/>
          <w:color w:val="auto"/>
        </w:rPr>
        <w:t>CBIZ</w:t>
      </w:r>
      <w:r>
        <w:rPr>
          <w:rFonts w:ascii="Times New Roman" w:cs="Times New Roman" w:eastAsia="Times New Roman" w:hAnsi="Times New Roman"/>
          <w:sz w:val="13"/>
          <w:szCs w:val="13"/>
          <w:color w:val="auto"/>
        </w:rPr>
        <w:t>” and together with BDO,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b w:val="1"/>
          <w:bCs w:val="1"/>
          <w:i w:val="1"/>
          <w:iCs w:val="1"/>
          <w:color w:val="auto"/>
        </w:rPr>
        <w:t>“Auditors”</w:t>
      </w:r>
      <w:r>
        <w:rPr>
          <w:rFonts w:ascii="Times New Roman" w:cs="Times New Roman" w:eastAsia="Times New Roman" w:hAnsi="Times New Roman"/>
          <w:sz w:val="13"/>
          <w:szCs w:val="13"/>
          <w:color w:val="auto"/>
        </w:rPr>
        <w:t>), who have each certified certain financial statements of the Company and its consolidated subsidiaries (the</w:t>
      </w:r>
      <w:r>
        <w:rPr>
          <w:rFonts w:ascii="Times New Roman" w:cs="Times New Roman" w:eastAsia="Times New Roman" w:hAnsi="Times New Roman"/>
          <w:sz w:val="13"/>
          <w:szCs w:val="13"/>
          <w:b w:val="1"/>
          <w:bCs w:val="1"/>
          <w:i w:val="1"/>
          <w:iCs w:val="1"/>
          <w:color w:val="auto"/>
        </w:rPr>
        <w:t xml:space="preserve"> “Subsidiaries”</w:t>
      </w:r>
      <w:r>
        <w:rPr>
          <w:rFonts w:ascii="Times New Roman" w:cs="Times New Roman" w:eastAsia="Times New Roman" w:hAnsi="Times New Roman"/>
          <w:sz w:val="13"/>
          <w:szCs w:val="13"/>
          <w:color w:val="auto"/>
        </w:rPr>
        <w:t>), and whose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reports appear in the Registration Statement and the Prospectus, are independent public accountants as required by the Securities Act and the Public Accounting Oversight Board.</w:t>
      </w:r>
    </w:p>
    <w:p>
      <w:pPr>
        <w:spacing w:after="0" w:line="46" w:lineRule="exact"/>
        <w:rPr>
          <w:rFonts w:ascii="Times New Roman" w:cs="Times New Roman" w:eastAsia="Times New Roman" w:hAnsi="Times New Roman"/>
          <w:sz w:val="13"/>
          <w:szCs w:val="13"/>
          <w:color w:val="auto"/>
        </w:rPr>
      </w:pPr>
    </w:p>
    <w:p>
      <w:pPr>
        <w:ind w:left="380" w:right="419" w:firstLine="1076"/>
        <w:spacing w:after="0" w:line="263" w:lineRule="auto"/>
        <w:tabs>
          <w:tab w:leader="none" w:pos="1753"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Material Adverse Effect</w:t>
      </w:r>
      <w:r>
        <w:rPr>
          <w:rFonts w:ascii="Times New Roman" w:cs="Times New Roman" w:eastAsia="Times New Roman" w:hAnsi="Times New Roman"/>
          <w:sz w:val="13"/>
          <w:szCs w:val="13"/>
          <w:color w:val="auto"/>
        </w:rPr>
        <w:t>. The Company and each of its Subsidiaries (a complete list of the Subsidiaries is included 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Schedule 4</w:t>
      </w:r>
      <w:r>
        <w:rPr>
          <w:rFonts w:ascii="Times New Roman" w:cs="Times New Roman" w:eastAsia="Times New Roman" w:hAnsi="Times New Roman"/>
          <w:sz w:val="13"/>
          <w:szCs w:val="13"/>
          <w:color w:val="auto"/>
        </w:rPr>
        <w:t xml:space="preserve"> hereto) has been duly organized, validly existing as a corporation and in good standing under the laws of their respective jurisdictions of organization. The Company and each of its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hereby (a </w:t>
      </w:r>
      <w:r>
        <w:rPr>
          <w:rFonts w:ascii="Times New Roman" w:cs="Times New Roman" w:eastAsia="Times New Roman" w:hAnsi="Times New Roman"/>
          <w:sz w:val="13"/>
          <w:szCs w:val="13"/>
          <w:b w:val="1"/>
          <w:bCs w:val="1"/>
          <w:i w:val="1"/>
          <w:iCs w:val="1"/>
          <w:color w:val="auto"/>
        </w:rPr>
        <w:t>“Material Adverse Effect”</w:t>
      </w:r>
      <w:r>
        <w:rPr>
          <w:rFonts w:ascii="Times New Roman" w:cs="Times New Roman" w:eastAsia="Times New Roman" w:hAnsi="Times New Roman"/>
          <w:sz w:val="13"/>
          <w:szCs w:val="13"/>
          <w:color w:val="auto"/>
        </w:rPr>
        <w:t xml:space="preserve">). The Company does not own or control, directly or indirectly, any corporation, association or other entity other than the Subsidiaries listed on </w:t>
      </w:r>
      <w:r>
        <w:rPr>
          <w:rFonts w:ascii="Times New Roman" w:cs="Times New Roman" w:eastAsia="Times New Roman" w:hAnsi="Times New Roman"/>
          <w:sz w:val="13"/>
          <w:szCs w:val="13"/>
          <w:u w:val="single" w:color="auto"/>
          <w:color w:val="auto"/>
        </w:rPr>
        <w:t>Schedule 4</w:t>
      </w:r>
      <w:r>
        <w:rPr>
          <w:rFonts w:ascii="Times New Roman" w:cs="Times New Roman" w:eastAsia="Times New Roman" w:hAnsi="Times New Roman"/>
          <w:sz w:val="13"/>
          <w:szCs w:val="13"/>
          <w:color w:val="auto"/>
        </w:rPr>
        <w:t xml:space="preserve"> hereto.</w:t>
      </w:r>
    </w:p>
    <w:p>
      <w:pPr>
        <w:spacing w:after="0" w:line="55" w:lineRule="exact"/>
        <w:rPr>
          <w:rFonts w:ascii="Times New Roman" w:cs="Times New Roman" w:eastAsia="Times New Roman" w:hAnsi="Times New Roman"/>
          <w:sz w:val="13"/>
          <w:szCs w:val="13"/>
          <w:color w:val="auto"/>
        </w:rPr>
      </w:pPr>
    </w:p>
    <w:p>
      <w:pPr>
        <w:ind w:left="380" w:right="419" w:firstLine="1076"/>
        <w:spacing w:after="0" w:line="264" w:lineRule="auto"/>
        <w:tabs>
          <w:tab w:leader="none" w:pos="1679"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 The Company has an authorized capitalization as set forth in each of the Registration Statement and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Prospectus, and all of the issued and outstanding shares of the Company have been duly authorized and validly issued, are fully paid and non-assessable, conform in all material respects to the description thereof contained in the Registration Statement and the Prospectus and were not issued in violation of any preemptive right, resale right, right of first refusal or similar right. All of the Company’s options, warrants and other rights to purchase or exchange any securities for shares of the Company’s capital stock have been duly authorized and validly issued, and conform in all material respects to the description thereof contained in the Registration Statement and the Prospectus. All of the issued shares of capital stock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would not, individually or in the aggregate, reasonably be expected to have a Material Adverse Effect.</w:t>
      </w:r>
    </w:p>
    <w:p>
      <w:pPr>
        <w:spacing w:after="0" w:line="54" w:lineRule="exact"/>
        <w:rPr>
          <w:rFonts w:ascii="Times New Roman" w:cs="Times New Roman" w:eastAsia="Times New Roman" w:hAnsi="Times New Roman"/>
          <w:sz w:val="13"/>
          <w:szCs w:val="13"/>
          <w:color w:val="auto"/>
        </w:rPr>
      </w:pPr>
    </w:p>
    <w:p>
      <w:pPr>
        <w:ind w:left="380" w:right="439" w:firstLine="1076"/>
        <w:spacing w:after="0" w:line="271" w:lineRule="auto"/>
        <w:tabs>
          <w:tab w:leader="none" w:pos="1641"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Due Authorization, Valid Issuance and Non-Assessability of Shares</w:t>
      </w:r>
      <w:r>
        <w:rPr>
          <w:rFonts w:ascii="Times New Roman" w:cs="Times New Roman" w:eastAsia="Times New Roman" w:hAnsi="Times New Roman"/>
          <w:sz w:val="13"/>
          <w:szCs w:val="13"/>
          <w:color w:val="auto"/>
        </w:rPr>
        <w:t>. The Shares to be issued and sold by the Company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Agent hereunder have been duly authorized, and upon payment and delivery in accordance with this Agreement, will be validly issued, fully paid and non-assessable, will conform in all material respects to the description thereof contained in the Registration Statement and the Prospectus, will be issued in compliance with federal and state securities laws and will be free of statutory and contractual preemptive rights, rights of first refusal and similar rights.</w:t>
      </w:r>
    </w:p>
    <w:p>
      <w:pPr>
        <w:spacing w:after="0" w:line="213" w:lineRule="exact"/>
        <w:rPr>
          <w:rFonts w:ascii="Times New Roman" w:cs="Times New Roman" w:eastAsia="Times New Roman" w:hAnsi="Times New Roman"/>
          <w:sz w:val="13"/>
          <w:szCs w:val="13"/>
          <w:color w:val="auto"/>
        </w:rPr>
      </w:pPr>
    </w:p>
    <w:p>
      <w:pPr>
        <w:ind w:left="380" w:right="659" w:firstLine="1076"/>
        <w:spacing w:after="0" w:line="301" w:lineRule="auto"/>
        <w:tabs>
          <w:tab w:leader="none" w:pos="1679"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Authority to Enter into this Agreement</w:t>
      </w:r>
      <w:r>
        <w:rPr>
          <w:rFonts w:ascii="Times New Roman" w:cs="Times New Roman" w:eastAsia="Times New Roman" w:hAnsi="Times New Roman"/>
          <w:sz w:val="13"/>
          <w:szCs w:val="13"/>
          <w:color w:val="auto"/>
        </w:rPr>
        <w:t>. The Company has all requisite corporate power and authority to execute, deliver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perform its obligations under this Agreement. This Agreement has been duly and validly authorized, executed and delivered by the Company.</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6" w:right="1440" w:bottom="1440" w:gutter="0" w:footer="0" w:header="0"/>
        </w:sectPr>
      </w:pPr>
    </w:p>
    <w:bookmarkStart w:id="63" w:name="page64"/>
    <w:bookmarkEnd w:id="63"/>
    <w:p>
      <w:pPr>
        <w:ind w:left="380" w:right="399" w:firstLine="1076"/>
        <w:spacing w:after="0" w:line="263" w:lineRule="auto"/>
        <w:tabs>
          <w:tab w:leader="none" w:pos="1716"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Non-Contravention</w:t>
      </w:r>
      <w:r>
        <w:rPr>
          <w:rFonts w:ascii="Times New Roman" w:cs="Times New Roman" w:eastAsia="Times New Roman" w:hAnsi="Times New Roman"/>
          <w:sz w:val="13"/>
          <w:szCs w:val="13"/>
          <w:color w:val="auto"/>
        </w:rPr>
        <w:t>. The issue and sale of the Shares, the execution, delivery and performance of this Agreement by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 the consummation of the transactions contemplated hereby and the application of the proceeds from the sale of the Shares as described under “Use of Proceeds” in the Registration Statement and the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for such conflicts, breaches, violations, liens, charges, encumbrances or defaults that would not, individually or in the aggregate, reasonably be expected to have a Material Adverse Effect.</w:t>
      </w:r>
    </w:p>
    <w:p>
      <w:pPr>
        <w:spacing w:after="0" w:line="55" w:lineRule="exact"/>
        <w:rPr>
          <w:rFonts w:ascii="Times New Roman" w:cs="Times New Roman" w:eastAsia="Times New Roman" w:hAnsi="Times New Roman"/>
          <w:sz w:val="13"/>
          <w:szCs w:val="13"/>
          <w:color w:val="auto"/>
        </w:rPr>
      </w:pPr>
    </w:p>
    <w:p>
      <w:pPr>
        <w:ind w:left="380" w:right="439" w:firstLine="1076"/>
        <w:spacing w:after="0" w:line="265" w:lineRule="auto"/>
        <w:tabs>
          <w:tab w:leader="none" w:pos="1753"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Consent or Approval Required</w:t>
      </w:r>
      <w:r>
        <w:rPr>
          <w:rFonts w:ascii="Times New Roman" w:cs="Times New Roman" w:eastAsia="Times New Roman" w:hAnsi="Times New Roman"/>
          <w:sz w:val="13"/>
          <w:szCs w:val="13"/>
          <w:color w:val="auto"/>
        </w:rPr>
        <w:t>. No consent, approval, authorization or order of, or filing, registration or qualification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Registration Statement and the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Times New Roman" w:cs="Times New Roman" w:eastAsia="Times New Roman" w:hAnsi="Times New Roman"/>
          <w:sz w:val="13"/>
          <w:szCs w:val="13"/>
          <w:b w:val="1"/>
          <w:bCs w:val="1"/>
          <w:i w:val="1"/>
          <w:iCs w:val="1"/>
          <w:color w:val="auto"/>
        </w:rPr>
        <w:t>“FINRA”</w:t>
      </w:r>
      <w:r>
        <w:rPr>
          <w:rFonts w:ascii="Times New Roman" w:cs="Times New Roman" w:eastAsia="Times New Roman" w:hAnsi="Times New Roman"/>
          <w:sz w:val="13"/>
          <w:szCs w:val="13"/>
          <w:color w:val="auto"/>
        </w:rPr>
        <w:t xml:space="preserve">) in connection with the sale of the Shares by the Agent; and (iii) the inclusion of the Shares on the Nasdaq Capital Market (the </w:t>
      </w:r>
      <w:r>
        <w:rPr>
          <w:rFonts w:ascii="Times New Roman" w:cs="Times New Roman" w:eastAsia="Times New Roman" w:hAnsi="Times New Roman"/>
          <w:sz w:val="13"/>
          <w:szCs w:val="13"/>
          <w:b w:val="1"/>
          <w:bCs w:val="1"/>
          <w:i w:val="1"/>
          <w:iCs w:val="1"/>
          <w:color w:val="auto"/>
        </w:rPr>
        <w:t>“Exchange”</w:t>
      </w:r>
      <w:r>
        <w:rPr>
          <w:rFonts w:ascii="Times New Roman" w:cs="Times New Roman" w:eastAsia="Times New Roman" w:hAnsi="Times New Roman"/>
          <w:sz w:val="13"/>
          <w:szCs w:val="13"/>
          <w:color w:val="auto"/>
        </w:rPr>
        <w:t>).</w:t>
      </w:r>
    </w:p>
    <w:p>
      <w:pPr>
        <w:spacing w:after="0" w:line="52" w:lineRule="exact"/>
        <w:rPr>
          <w:rFonts w:ascii="Times New Roman" w:cs="Times New Roman" w:eastAsia="Times New Roman" w:hAnsi="Times New Roman"/>
          <w:sz w:val="13"/>
          <w:szCs w:val="13"/>
          <w:color w:val="auto"/>
        </w:rPr>
      </w:pPr>
    </w:p>
    <w:p>
      <w:pPr>
        <w:ind w:left="380" w:right="399" w:firstLine="1076"/>
        <w:spacing w:after="0" w:line="263" w:lineRule="auto"/>
        <w:tabs>
          <w:tab w:leader="none" w:pos="1746"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Internal Accounting Controls</w:t>
      </w:r>
      <w:r>
        <w:rPr>
          <w:rFonts w:ascii="Times New Roman" w:cs="Times New Roman" w:eastAsia="Times New Roman" w:hAnsi="Times New Roman"/>
          <w:sz w:val="13"/>
          <w:szCs w:val="13"/>
          <w:color w:val="auto"/>
        </w:rPr>
        <w:t>. The Company and each of its Subsidiaries maintain internal accounting controls designed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generally accepted accounting principles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XBRL included or incorporated by reference in the Registration Statement and the Prospectus fairly present the information called for in all material respects and are prepared in accordance with the Commission’s rules and guidelines applicable thereto. Except as disclosed in the Registration Statement or the Prospectus, as of the date of the most recent balance sheet of the Company and its consolidated Subsidiaries audited by CBIZ, there were no material weaknesses in the Company’s internal controls.</w:t>
      </w:r>
    </w:p>
    <w:p>
      <w:pPr>
        <w:spacing w:after="0" w:line="55" w:lineRule="exact"/>
        <w:rPr>
          <w:rFonts w:ascii="Times New Roman" w:cs="Times New Roman" w:eastAsia="Times New Roman" w:hAnsi="Times New Roman"/>
          <w:sz w:val="13"/>
          <w:szCs w:val="13"/>
          <w:color w:val="auto"/>
        </w:rPr>
      </w:pPr>
    </w:p>
    <w:p>
      <w:pPr>
        <w:ind w:left="380" w:right="419" w:firstLine="1076"/>
        <w:spacing w:after="0" w:line="268" w:lineRule="auto"/>
        <w:tabs>
          <w:tab w:leader="none" w:pos="1709"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Disclosure Controls</w:t>
      </w:r>
      <w:r>
        <w:rPr>
          <w:rFonts w:ascii="Times New Roman" w:cs="Times New Roman" w:eastAsia="Times New Roman" w:hAnsi="Times New Roman"/>
          <w:sz w:val="13"/>
          <w:szCs w:val="13"/>
          <w:color w:val="auto"/>
        </w:rPr>
        <w:t>. The Company and each of its Subsidiaries maintain disclosure controls and procedures (as such term 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defined in Rule 13a-15(e) under the Exchange Act) designed to ensure that the information required to be disclosed by the Company and its Subsidiaries in the reports they file or submit under the Exchange Act is accumulated and communicated to management of the Company and its Subsidiaries, including their respective principal executive officers and principal financial officers, as appropriate, to allow timely decisions regarding required disclosure to be made, and such disclosure controls and procedures are effective in all material respects to perform the functions for which they were established.</w:t>
      </w:r>
    </w:p>
    <w:p>
      <w:pPr>
        <w:spacing w:after="0" w:line="215" w:lineRule="exact"/>
        <w:rPr>
          <w:rFonts w:ascii="Times New Roman" w:cs="Times New Roman" w:eastAsia="Times New Roman" w:hAnsi="Times New Roman"/>
          <w:sz w:val="13"/>
          <w:szCs w:val="13"/>
          <w:color w:val="auto"/>
        </w:rPr>
      </w:pPr>
    </w:p>
    <w:p>
      <w:pPr>
        <w:ind w:left="380" w:right="699" w:firstLine="1076"/>
        <w:spacing w:after="0" w:line="267" w:lineRule="auto"/>
        <w:tabs>
          <w:tab w:leader="none" w:pos="1746"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Critical Accounting Policies</w:t>
      </w:r>
      <w:r>
        <w:rPr>
          <w:rFonts w:ascii="Times New Roman" w:cs="Times New Roman" w:eastAsia="Times New Roman" w:hAnsi="Times New Roman"/>
          <w:sz w:val="13"/>
          <w:szCs w:val="13"/>
          <w:color w:val="auto"/>
        </w:rPr>
        <w:t>. The section entitled “Critical Accounting Estimates” from the Company’s Annual Report 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Form 10-K for the fiscal year ended December 31, 2025, incorporated by reference in the Registration Statement and the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w:t>
      </w:r>
      <w:r>
        <w:rPr>
          <w:rFonts w:ascii="Times New Roman" w:cs="Times New Roman" w:eastAsia="Times New Roman" w:hAnsi="Times New Roman"/>
          <w:sz w:val="13"/>
          <w:szCs w:val="13"/>
          <w:b w:val="1"/>
          <w:bCs w:val="1"/>
          <w:i w:val="1"/>
          <w:iCs w:val="1"/>
          <w:color w:val="auto"/>
        </w:rPr>
        <w:t>Critical Accounting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Estimates</w:t>
      </w:r>
      <w:r>
        <w:rPr>
          <w:rFonts w:ascii="Times New Roman" w:cs="Times New Roman" w:eastAsia="Times New Roman" w:hAnsi="Times New Roman"/>
          <w:sz w:val="13"/>
          <w:szCs w:val="13"/>
          <w:color w:val="auto"/>
        </w:rPr>
        <w:t>”); (ii) the judgments and uncertainties affecting the application of Critical Accounting Estimates; and (iii) the likelihood that materially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different amounts would be reported under different conditions or using different assumptions, and an explanation thereof.</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6" w:right="1440" w:bottom="1440" w:gutter="0" w:footer="0" w:header="0"/>
        </w:sectPr>
      </w:pPr>
    </w:p>
    <w:bookmarkStart w:id="64" w:name="page65"/>
    <w:bookmarkEnd w:id="64"/>
    <w:p>
      <w:pPr>
        <w:ind w:left="380" w:right="539" w:firstLine="1076"/>
        <w:spacing w:after="0" w:line="273" w:lineRule="auto"/>
        <w:tabs>
          <w:tab w:leader="none" w:pos="1783"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Sarbanes-Oxley Compliance</w:t>
      </w:r>
      <w:r>
        <w:rPr>
          <w:rFonts w:ascii="Times New Roman" w:cs="Times New Roman" w:eastAsia="Times New Roman" w:hAnsi="Times New Roman"/>
          <w:sz w:val="13"/>
          <w:szCs w:val="13"/>
          <w:color w:val="auto"/>
        </w:rPr>
        <w:t>. There is and has been no failure on the part of the Company or, to the knowledge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 any of the Company’s directors or officers, in their capacities as such, to comply with any provision of the Sarbanes-Oxley Act of 2002 and the rules and regulations promulgated in connection therewith that are applicable to the Company or its directors or officers in their capacities as directors or officers of the Company.</w:t>
      </w:r>
    </w:p>
    <w:p>
      <w:pPr>
        <w:spacing w:after="0" w:line="46" w:lineRule="exact"/>
        <w:rPr>
          <w:rFonts w:ascii="Times New Roman" w:cs="Times New Roman" w:eastAsia="Times New Roman" w:hAnsi="Times New Roman"/>
          <w:sz w:val="13"/>
          <w:szCs w:val="13"/>
          <w:color w:val="auto"/>
        </w:rPr>
      </w:pPr>
    </w:p>
    <w:p>
      <w:pPr>
        <w:ind w:left="380" w:right="539" w:firstLine="1076"/>
        <w:spacing w:after="0" w:line="265" w:lineRule="auto"/>
        <w:tabs>
          <w:tab w:leader="none" w:pos="1821"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Exceptions</w:t>
      </w:r>
      <w:r>
        <w:rPr>
          <w:rFonts w:ascii="Times New Roman" w:cs="Times New Roman" w:eastAsia="Times New Roman" w:hAnsi="Times New Roman"/>
          <w:sz w:val="13"/>
          <w:szCs w:val="13"/>
          <w:color w:val="auto"/>
        </w:rPr>
        <w:t>. Except as would not, in the aggregate, reasonably be expected to have a Material Adverse Effect, since the date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the latest audited financial statements included in the Registration Statement and the Prospectus, and, except as disclosed in the Registration Statement and the Prospectus, neither the Company nor any of its Subsidiaries has (i) sustained any loss or interference with its business from fire, explosion, flood or other calamity, whether or not covered by insurance, or from any labor dispute or court or governmental action, order or decree,</w:t>
      </w:r>
    </w:p>
    <w:p>
      <w:pPr>
        <w:jc w:val="both"/>
        <w:ind w:left="380" w:right="539" w:firstLine="5"/>
        <w:spacing w:after="0" w:line="259" w:lineRule="auto"/>
        <w:tabs>
          <w:tab w:leader="none" w:pos="578"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issued or granted any securities (other than pursuant to employee benefit plans, qualified stock option plans or other equity compensation plans or arrangements existing on the date hereof and disclosed in the Registration Statement and the Prospectus (the </w:t>
      </w:r>
      <w:r>
        <w:rPr>
          <w:rFonts w:ascii="Times New Roman" w:cs="Times New Roman" w:eastAsia="Times New Roman" w:hAnsi="Times New Roman"/>
          <w:sz w:val="13"/>
          <w:szCs w:val="13"/>
          <w:b w:val="1"/>
          <w:bCs w:val="1"/>
          <w:i w:val="1"/>
          <w:iCs w:val="1"/>
          <w:color w:val="auto"/>
        </w:rPr>
        <w:t>“Specified Equity Plans”</w:t>
      </w:r>
      <w:r>
        <w:rPr>
          <w:rFonts w:ascii="Times New Roman" w:cs="Times New Roman" w:eastAsia="Times New Roman" w:hAnsi="Times New Roman"/>
          <w:sz w:val="13"/>
          <w:szCs w:val="13"/>
          <w:color w:val="auto"/>
        </w:rPr>
        <w:t>)), (iii) incurred any material liability or obligation, direct or contingent, other than liabilities and obligations that were incurred in the ordinary course of business,</w:t>
      </w:r>
    </w:p>
    <w:p>
      <w:pPr>
        <w:ind w:left="380" w:right="439" w:firstLine="5"/>
        <w:spacing w:after="0" w:line="264" w:lineRule="auto"/>
        <w:tabs>
          <w:tab w:leader="none" w:pos="60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entered into any material transaction not in the ordinary course of business, or (v) declared or paid any dividend on its share capital; and since such date, except as disclosed in the Registration Statement and the Prospectus, there has not been any change in the share capital (other than in connection with issuances pursuant to the Specified Equity Plans), long-term debt, net current assets or short-term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w:t>
      </w:r>
    </w:p>
    <w:p>
      <w:pPr>
        <w:spacing w:after="0" w:line="51" w:lineRule="exact"/>
        <w:rPr>
          <w:rFonts w:ascii="Times New Roman" w:cs="Times New Roman" w:eastAsia="Times New Roman" w:hAnsi="Times New Roman"/>
          <w:sz w:val="13"/>
          <w:szCs w:val="13"/>
          <w:color w:val="auto"/>
        </w:rPr>
      </w:pPr>
    </w:p>
    <w:p>
      <w:pPr>
        <w:ind w:left="380" w:right="399" w:firstLine="1076"/>
        <w:spacing w:after="0" w:line="267" w:lineRule="auto"/>
        <w:tabs>
          <w:tab w:leader="none" w:pos="1746"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Valid Title</w:t>
      </w:r>
      <w:r>
        <w:rPr>
          <w:rFonts w:ascii="Times New Roman" w:cs="Times New Roman" w:eastAsia="Times New Roman" w:hAnsi="Times New Roman"/>
          <w:sz w:val="13"/>
          <w:szCs w:val="13"/>
          <w:color w:val="auto"/>
        </w:rPr>
        <w:t>. The Company and each of its Subsidiaries have good and marketable title in fee simple to all real property and good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marketable title to all personal property owned by them, that are material to the business of the Company, in each case free and clear of all liens, encumbrances and defects, except such liens, encumbrances and defects as do not materially affect the value of such property and do not materially interfere with the use made and proposed to be made of such property by the Company and its Subsidiaries. All assets held under lease by the Company and its Subsidiaries, that are material to the business of the Company, are held by them under valid, subsisting and enforceable leases, with such exceptions as do not materially interfere with the use made and proposed to be made of such assets by the Company and its Subsidiaries.</w:t>
      </w:r>
    </w:p>
    <w:p>
      <w:pPr>
        <w:spacing w:after="0" w:line="52" w:lineRule="exact"/>
        <w:rPr>
          <w:rFonts w:ascii="Times New Roman" w:cs="Times New Roman" w:eastAsia="Times New Roman" w:hAnsi="Times New Roman"/>
          <w:sz w:val="13"/>
          <w:szCs w:val="13"/>
          <w:color w:val="auto"/>
        </w:rPr>
      </w:pPr>
    </w:p>
    <w:p>
      <w:pPr>
        <w:ind w:left="380" w:right="399" w:firstLine="1076"/>
        <w:spacing w:after="0" w:line="261" w:lineRule="auto"/>
        <w:tabs>
          <w:tab w:leader="none" w:pos="1709"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Intellectual Property</w:t>
      </w:r>
      <w:r>
        <w:rPr>
          <w:rFonts w:ascii="Times New Roman" w:cs="Times New Roman" w:eastAsia="Times New Roman" w:hAnsi="Times New Roman"/>
          <w:sz w:val="13"/>
          <w:szCs w:val="13"/>
          <w:color w:val="auto"/>
        </w:rPr>
        <w:t>. The Company and each of its Subsidiaries owns, possesses or has valid and enforceable licenses to use,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can acquire on reasonable terms, all Intellectual Property (as defined below) necessary for the conduct of the Company’s and its Subsidiaries’ business as now conducted or as described in the Registration Statement and the Prospectus to be conducted, except as such failure to own, possess, or acquire such rights would not reasonably be expected to, individually or in the aggregate, result in a Material Adverse Effect. Furthermore, (A) to the knowledge of the Company, there is no infringement, misappropriation or violation by third parties of any such Intellectual Property, the effect of which would have a Material Adverse Effect; (B) there is no pending or, to the knowledge of the Company, threatened, action, suit, proceeding or claim by others challenging the Company’s or any of its Subsidiaries’ rights in or to any such Intellectual Property, the effect of which would have a Material Adverse Effect; (C)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the effect of which would have a Material Adverse Effect;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or any of its Subsidiaries has received any written notice of such claim, the effect of which would have a Material Adverse Effect; and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the effect of which would have a Material Adverse Effect. “</w:t>
      </w:r>
      <w:r>
        <w:rPr>
          <w:rFonts w:ascii="Times New Roman" w:cs="Times New Roman" w:eastAsia="Times New Roman" w:hAnsi="Times New Roman"/>
          <w:sz w:val="13"/>
          <w:szCs w:val="13"/>
          <w:b w:val="1"/>
          <w:bCs w:val="1"/>
          <w:i w:val="1"/>
          <w:iCs w:val="1"/>
          <w:color w:val="auto"/>
        </w:rPr>
        <w:t>Intellectual Property</w:t>
      </w:r>
      <w:r>
        <w:rPr>
          <w:rFonts w:ascii="Times New Roman" w:cs="Times New Roman" w:eastAsia="Times New Roman" w:hAnsi="Times New Roman"/>
          <w:sz w:val="13"/>
          <w:szCs w:val="13"/>
          <w:color w:val="auto"/>
        </w:rPr>
        <w:t>” shall mean all patents, patent applications, trade and service marks, trade and service mark registrations, trade names, copyrights, licenses, inventions, trade secrets, domain names, technology, know-how and other intellectual property.</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6" w:right="1440" w:bottom="1440" w:gutter="0" w:footer="0" w:header="0"/>
        </w:sectPr>
      </w:pPr>
    </w:p>
    <w:bookmarkStart w:id="65" w:name="page66"/>
    <w:bookmarkEnd w:id="65"/>
    <w:p>
      <w:pPr>
        <w:ind w:left="380" w:right="399" w:firstLine="1076"/>
        <w:spacing w:after="0" w:line="262" w:lineRule="auto"/>
        <w:tabs>
          <w:tab w:leader="none" w:pos="1746"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Consents and Permits</w:t>
      </w:r>
      <w:r>
        <w:rPr>
          <w:rFonts w:ascii="Times New Roman" w:cs="Times New Roman" w:eastAsia="Times New Roman" w:hAnsi="Times New Roman"/>
          <w:sz w:val="13"/>
          <w:szCs w:val="13"/>
          <w:color w:val="auto"/>
        </w:rPr>
        <w:t>. Except as set forth in the Registration Statement and the Prospectus, the Company and each of 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Subsidiaries have such permits, licenses, patents, franchises, certificates of need and other approvals consents and other authorizations (the “</w:t>
      </w:r>
      <w:r>
        <w:rPr>
          <w:rFonts w:ascii="Times New Roman" w:cs="Times New Roman" w:eastAsia="Times New Roman" w:hAnsi="Times New Roman"/>
          <w:sz w:val="13"/>
          <w:szCs w:val="13"/>
          <w:b w:val="1"/>
          <w:bCs w:val="1"/>
          <w:i w:val="1"/>
          <w:iCs w:val="1"/>
          <w:color w:val="auto"/>
        </w:rPr>
        <w:t>Regulatory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Permits</w:t>
      </w:r>
      <w:r>
        <w:rPr>
          <w:rFonts w:ascii="Times New Roman" w:cs="Times New Roman" w:eastAsia="Times New Roman" w:hAnsi="Times New Roman"/>
          <w:sz w:val="13"/>
          <w:szCs w:val="13"/>
          <w:color w:val="auto"/>
        </w:rPr>
        <w:t>”) issued by the appropriate domestic or foreign regional, federal, state, or local regulatory agencies or bodies necessary to conduct the business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the Company, including, without limitation, any Regulatory Permits required by the U.S. Food and Drug Administration (the “</w:t>
      </w:r>
      <w:r>
        <w:rPr>
          <w:rFonts w:ascii="Times New Roman" w:cs="Times New Roman" w:eastAsia="Times New Roman" w:hAnsi="Times New Roman"/>
          <w:sz w:val="13"/>
          <w:szCs w:val="13"/>
          <w:b w:val="1"/>
          <w:bCs w:val="1"/>
          <w:i w:val="1"/>
          <w:iCs w:val="1"/>
          <w:color w:val="auto"/>
        </w:rPr>
        <w:t>FDA</w:t>
      </w:r>
      <w:r>
        <w:rPr>
          <w:rFonts w:ascii="Times New Roman" w:cs="Times New Roman" w:eastAsia="Times New Roman" w:hAnsi="Times New Roman"/>
          <w:sz w:val="13"/>
          <w:szCs w:val="13"/>
          <w:color w:val="auto"/>
        </w:rPr>
        <w:t>”) or any other authorizations issued by domestic or foreign regional, federal, state, or local agencies or bodies engaged in the regulation of products such as those being developed by the Company and its Subsidiaries, except for any of the foregoing that would not reasonably be expected to, individually or in the aggregate, have a Material Adverse Effect; the Company (i) is in compliance in all material respects with the requirements of the Regulatory Permits, and (ii) all of the Regulatory Permits are valid and in full force and effect, in each case, except for any of the foregoing that would not reasonably be expected to, individually or in the aggregate, have a Material Adverse Effect; the Company has not received any written notice of proceedings relating to the revocation, termination, modification or impairment of rights of any of the Regulatory Permits that, individually or in the aggregate, if the subject of an unfavorable decision, ruling or finding, would reasonably be expected to result in a Material Adverse Effect; the Company has not failed to submit to the FDA any applications or other filings necessary to conduct the business of the Company, any such filings that were required to be made were in material compliance with applicable laws when filed, and no material deficiencies have been asserted by the FDA with respect to any such filings or submissions that were made.</w:t>
      </w:r>
    </w:p>
    <w:p>
      <w:pPr>
        <w:spacing w:after="0" w:line="220" w:lineRule="exact"/>
        <w:rPr>
          <w:rFonts w:ascii="Times New Roman" w:cs="Times New Roman" w:eastAsia="Times New Roman" w:hAnsi="Times New Roman"/>
          <w:sz w:val="13"/>
          <w:szCs w:val="13"/>
          <w:color w:val="auto"/>
        </w:rPr>
      </w:pPr>
    </w:p>
    <w:p>
      <w:pPr>
        <w:ind w:left="380" w:right="399" w:firstLine="1076"/>
        <w:spacing w:after="0" w:line="261" w:lineRule="auto"/>
        <w:tabs>
          <w:tab w:leader="none" w:pos="1783"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Compliance with Applicable Laws and Regulations</w:t>
      </w:r>
      <w:r>
        <w:rPr>
          <w:rFonts w:ascii="Times New Roman" w:cs="Times New Roman" w:eastAsia="Times New Roman" w:hAnsi="Times New Roman"/>
          <w:sz w:val="13"/>
          <w:szCs w:val="13"/>
          <w:color w:val="auto"/>
        </w:rPr>
        <w:t>. Except as would not reasonably be expected to have a Material Adverse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Effect or as described in the Registration Statement and Prospectus, as applicable, the Company and each of its Subsidiaries and, to the Company’s knowledge, the directors, officers, employees, and agents (while acting in such capacity) of the Company and each of its Subsidiaries (i) are, and at all times have been, in compliance with all health care laws and regulations applicable to the Company or its Subsidiaries, including all such health care laws and regulations pertaining to development and testing of health care products or medical devices, fraud and abuse, kickbacks, recordkeeping, documentation requirements, the hiring of employees (to the extent governed by health care laws), quality, safety, privacy, security, licensure, ownership, manufacturing, packaging, labeling, processing, use, distribution, storage, import, export, advertising, promotion, marketing or disposal of health care products or medical devices (collectively, the </w:t>
      </w:r>
      <w:r>
        <w:rPr>
          <w:rFonts w:ascii="Times New Roman" w:cs="Times New Roman" w:eastAsia="Times New Roman" w:hAnsi="Times New Roman"/>
          <w:sz w:val="13"/>
          <w:szCs w:val="13"/>
          <w:b w:val="1"/>
          <w:bCs w:val="1"/>
          <w:i w:val="1"/>
          <w:iCs w:val="1"/>
          <w:color w:val="auto"/>
        </w:rPr>
        <w:t>“Applicable Laws”</w:t>
      </w:r>
      <w:r>
        <w:rPr>
          <w:rFonts w:ascii="Times New Roman" w:cs="Times New Roman" w:eastAsia="Times New Roman" w:hAnsi="Times New Roman"/>
          <w:sz w:val="13"/>
          <w:szCs w:val="13"/>
          <w:color w:val="auto"/>
        </w:rPr>
        <w:t>); (ii) have not received any notice from any court or arbitrator or governmental or regulatory authority or third party alleging or asserting noncompliance with any Applicable Laws or any licenses, exemptions, certificates, approvals, clearances, authorizations, permits, registrations and supplements or amendments thereto required by any such Applicable Laws (</w:t>
      </w:r>
      <w:r>
        <w:rPr>
          <w:rFonts w:ascii="Times New Roman" w:cs="Times New Roman" w:eastAsia="Times New Roman" w:hAnsi="Times New Roman"/>
          <w:sz w:val="13"/>
          <w:szCs w:val="13"/>
          <w:b w:val="1"/>
          <w:bCs w:val="1"/>
          <w:i w:val="1"/>
          <w:iCs w:val="1"/>
          <w:color w:val="auto"/>
        </w:rPr>
        <w:t>“Authorizations”</w:t>
      </w:r>
      <w:r>
        <w:rPr>
          <w:rFonts w:ascii="Times New Roman" w:cs="Times New Roman" w:eastAsia="Times New Roman" w:hAnsi="Times New Roman"/>
          <w:sz w:val="13"/>
          <w:szCs w:val="13"/>
          <w:color w:val="auto"/>
        </w:rPr>
        <w:t>); (iii) possess all Authorizations and such Authorizations are valid and in full force and effect and are not in violation of any term of any such Authorizations; (iv) have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Applicable Laws or Authorizations nor is any such claim, action, suit, proceeding, hearing, enforcement, investigation, arbitration or other action threatened; (v) have not received any written notice that any court or arbitrator or governmental or regulatory authority has taken, is taking or intends to take, action to limit, suspend, materially modify or revoke any Authorizations nor is any such limitation, suspension, modification or revocation threatened; (vi) have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accurate on the date filed (or were corrected or supplemented by a subsequent submission); and (vii) are not a party to any corporate integrity agreements, monitoring agreements, consent decrees, settlement orders, or similar agreements with or imposed by any governmental or regulatory authority.</w:t>
      </w:r>
    </w:p>
    <w:p>
      <w:pPr>
        <w:spacing w:after="0" w:line="221" w:lineRule="exact"/>
        <w:rPr>
          <w:rFonts w:ascii="Times New Roman" w:cs="Times New Roman" w:eastAsia="Times New Roman" w:hAnsi="Times New Roman"/>
          <w:sz w:val="13"/>
          <w:szCs w:val="13"/>
          <w:color w:val="auto"/>
        </w:rPr>
      </w:pPr>
    </w:p>
    <w:p>
      <w:pPr>
        <w:ind w:left="380" w:right="439" w:firstLine="1076"/>
        <w:spacing w:after="0" w:line="269" w:lineRule="auto"/>
        <w:tabs>
          <w:tab w:leader="none" w:pos="182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No Safety Notices. </w:t>
      </w:r>
      <w:r>
        <w:rPr>
          <w:rFonts w:ascii="Times New Roman" w:cs="Times New Roman" w:eastAsia="Times New Roman" w:hAnsi="Times New Roman"/>
          <w:sz w:val="13"/>
          <w:szCs w:val="13"/>
          <w:color w:val="auto"/>
        </w:rPr>
        <w:t>Except as would not reasonably be expected to have a Material Adverse Effect or as disclosed in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Registration Statement and the Prospectus, there have been no recalls, field notifications, corrections or removals, market withdrawals or replacements, warnings, “dear doctor” letters, investigator notices, safety alerts, safety communications or other notice of action relating to an alleged lack of safety, efficacy, or regulatory compliance of the products of the Company or any of its Subsidiaries (“</w:t>
      </w:r>
      <w:r>
        <w:rPr>
          <w:rFonts w:ascii="Times New Roman" w:cs="Times New Roman" w:eastAsia="Times New Roman" w:hAnsi="Times New Roman"/>
          <w:sz w:val="13"/>
          <w:szCs w:val="13"/>
          <w:b w:val="1"/>
          <w:bCs w:val="1"/>
          <w:i w:val="1"/>
          <w:iCs w:val="1"/>
          <w:color w:val="auto"/>
        </w:rPr>
        <w:t>Safety Notices</w:t>
      </w:r>
      <w:r>
        <w:rPr>
          <w:rFonts w:ascii="Times New Roman" w:cs="Times New Roman" w:eastAsia="Times New Roman" w:hAnsi="Times New Roman"/>
          <w:sz w:val="13"/>
          <w:szCs w:val="13"/>
          <w:color w:val="auto"/>
        </w:rPr>
        <w:t>”). To the Company’s knowledge, there are no facts that would be reasonably likely to result in (i) a material Safety Notice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6" w:right="1440" w:bottom="1440" w:gutter="0" w:footer="0" w:header="0"/>
        </w:sectPr>
      </w:pPr>
    </w:p>
    <w:bookmarkStart w:id="66" w:name="page67"/>
    <w:bookmarkEnd w:id="66"/>
    <w:p>
      <w:pPr>
        <w:ind w:left="380" w:right="419"/>
        <w:spacing w:after="0" w:line="27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with respect to the products of the Company or any of its Subsidiaries, (ii) a material change in labeling of any of the products of the Company or any of its Subsidiaries, or (iii) a termination or suspension of marketing or testing of any of the products of the Company or any of its Subsidiaries, except, in each case, as would not reasonably be expected to have a Material Adverse Effect.</w:t>
      </w:r>
    </w:p>
    <w:p>
      <w:pPr>
        <w:spacing w:after="0" w:line="44" w:lineRule="exact"/>
        <w:rPr>
          <w:sz w:val="20"/>
          <w:szCs w:val="20"/>
          <w:color w:val="auto"/>
        </w:rPr>
      </w:pPr>
    </w:p>
    <w:p>
      <w:pPr>
        <w:ind w:left="380" w:right="399" w:firstLine="1076"/>
        <w:spacing w:after="0" w:line="262" w:lineRule="auto"/>
        <w:tabs>
          <w:tab w:leader="none" w:pos="1813"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Clinical Data and Regulatory Compliance</w:t>
      </w:r>
      <w:r>
        <w:rPr>
          <w:rFonts w:ascii="Times New Roman" w:cs="Times New Roman" w:eastAsia="Times New Roman" w:hAnsi="Times New Roman"/>
          <w:sz w:val="13"/>
          <w:szCs w:val="13"/>
          <w:color w:val="auto"/>
        </w:rPr>
        <w:t>. The clinical and preclinical studies and tests conducted by the Company and 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Subsidiaries and, to the knowledge of the Company, the clinical and preclinical studies conducted on behalf of or sponsored by the Company or its Subsidiaries, were, and if still pending, are, being conducted in all material respects in accordance with all Applicable Laws, including, but not limited to, the Federal Food, Drug and Cosmetic Act and its applicable implementing regulations at 21 C.F.R. Parts 50, 54, 56, 58 and 812. Any descriptions of clinical, preclinical and other studies and tests, including any related results and regulatory status, contained in the Registration Statement, the Prospectus and any Permitted Free Writing Prospectus are complete, accurate, and fairly represented in all material respects. Except as disclosed in the Registration Statement, the Prospectus and any Permitted Free Writing Prospectus and to the Company’s knowledge, there are no studies, tests or trials the result of which the Company believes reasonably call into question in any material respect the clinical trial results described or referred to in the Registration Statement, the Prospectus or any Permitted Free Writing Prospectus when viewed in the context in which such results are described and the clinical state of development. No marketing authorization, including any 510(k) clearance held by the Company, has been terminated or suspended by the FDA, and neither the FDA nor any applicable foreign regulatory agency has commenced, or, to the Company’s knowledge, threatened to initiate, any action to place a clinical hold order on, or otherwise terminate, delay or suspend, any proposed or ongoing clinical investigation conducted or proposed to be conducted by or on behalf of the Company or any of its Subsidiaries.</w:t>
      </w:r>
    </w:p>
    <w:p>
      <w:pPr>
        <w:spacing w:after="0" w:line="59" w:lineRule="exact"/>
        <w:rPr>
          <w:rFonts w:ascii="Times New Roman" w:cs="Times New Roman" w:eastAsia="Times New Roman" w:hAnsi="Times New Roman"/>
          <w:sz w:val="13"/>
          <w:szCs w:val="13"/>
          <w:color w:val="auto"/>
        </w:rPr>
      </w:pPr>
    </w:p>
    <w:p>
      <w:pPr>
        <w:jc w:val="both"/>
        <w:ind w:left="380" w:right="459" w:firstLine="1076"/>
        <w:spacing w:after="0" w:line="280" w:lineRule="auto"/>
        <w:tabs>
          <w:tab w:leader="none" w:pos="1776"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Absence of Settlement Agreements or Undertakings</w:t>
      </w:r>
      <w:r>
        <w:rPr>
          <w:rFonts w:ascii="Times New Roman" w:cs="Times New Roman" w:eastAsia="Times New Roman" w:hAnsi="Times New Roman"/>
          <w:sz w:val="13"/>
          <w:szCs w:val="13"/>
          <w:color w:val="auto"/>
        </w:rPr>
        <w:t>. Except as disclosed in the Registration Statement and the Prospectus,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 is not a party to any corporate integrity agreements, monitoring agreements, consent decrees, settlement orders, or similar agreements with or imposed by any governmental authority.</w:t>
      </w:r>
    </w:p>
    <w:p>
      <w:pPr>
        <w:spacing w:after="0" w:line="42" w:lineRule="exact"/>
        <w:rPr>
          <w:rFonts w:ascii="Times New Roman" w:cs="Times New Roman" w:eastAsia="Times New Roman" w:hAnsi="Times New Roman"/>
          <w:sz w:val="13"/>
          <w:szCs w:val="13"/>
          <w:color w:val="auto"/>
        </w:rPr>
      </w:pPr>
    </w:p>
    <w:p>
      <w:pPr>
        <w:ind w:left="380" w:right="399" w:firstLine="1076"/>
        <w:spacing w:after="0" w:line="267" w:lineRule="auto"/>
        <w:tabs>
          <w:tab w:leader="none" w:pos="1813"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Absence of Legal or Governmental Proceedings</w:t>
      </w:r>
      <w:r>
        <w:rPr>
          <w:rFonts w:ascii="Times New Roman" w:cs="Times New Roman" w:eastAsia="Times New Roman" w:hAnsi="Times New Roman"/>
          <w:sz w:val="13"/>
          <w:szCs w:val="13"/>
          <w:color w:val="auto"/>
        </w:rPr>
        <w:t>. Except as disclosed in the Registration Statement and the Prospectus, there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are no legal or governmental proceedings pending to which the Company or any of its Subsidiaries is a party or of which any property or assets of the Company or any of its Subsidiaries is the subject that, if determined adversely to the Company, would,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52" w:lineRule="exact"/>
        <w:rPr>
          <w:rFonts w:ascii="Times New Roman" w:cs="Times New Roman" w:eastAsia="Times New Roman" w:hAnsi="Times New Roman"/>
          <w:sz w:val="13"/>
          <w:szCs w:val="13"/>
          <w:color w:val="auto"/>
        </w:rPr>
      </w:pPr>
    </w:p>
    <w:p>
      <w:pPr>
        <w:ind w:left="380" w:right="439" w:firstLine="1076"/>
        <w:spacing w:after="0" w:line="267" w:lineRule="auto"/>
        <w:tabs>
          <w:tab w:leader="none" w:pos="185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Material Contracts</w:t>
      </w:r>
      <w:r>
        <w:rPr>
          <w:rFonts w:ascii="Times New Roman" w:cs="Times New Roman" w:eastAsia="Times New Roman" w:hAnsi="Times New Roman"/>
          <w:sz w:val="13"/>
          <w:szCs w:val="13"/>
          <w:color w:val="auto"/>
        </w:rPr>
        <w:t>. There are no contracts or other documents required to be described in the Registration Statement or filed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exhibits to the Registration Statement that are not described and filed as required. The statements made in the Registration Statement and Prospectus, insofar as they purport to constitute summaries of the terms of the contracts and other documents described and filed, constitute accurate summaries of the terms of such contracts and documents in all material respects. Except as disclosed in the Registration Statement and the Prospectus, neither the Company nor any of its Subsidiaries has knowledge that any other party to any such contract or other document has any intention not to render full performance as contemplated by the terms thereof.</w:t>
      </w:r>
    </w:p>
    <w:p>
      <w:pPr>
        <w:spacing w:after="0" w:line="52" w:lineRule="exact"/>
        <w:rPr>
          <w:rFonts w:ascii="Times New Roman" w:cs="Times New Roman" w:eastAsia="Times New Roman" w:hAnsi="Times New Roman"/>
          <w:sz w:val="13"/>
          <w:szCs w:val="13"/>
          <w:color w:val="auto"/>
        </w:rPr>
      </w:pPr>
    </w:p>
    <w:p>
      <w:pPr>
        <w:ind w:left="380" w:right="439" w:firstLine="1076"/>
        <w:spacing w:after="0" w:line="265" w:lineRule="auto"/>
        <w:tabs>
          <w:tab w:leader="none" w:pos="1888"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Insurance</w:t>
      </w:r>
      <w:r>
        <w:rPr>
          <w:rFonts w:ascii="Times New Roman" w:cs="Times New Roman" w:eastAsia="Times New Roman" w:hAnsi="Times New Roman"/>
          <w:sz w:val="13"/>
          <w:szCs w:val="13"/>
          <w:color w:val="auto"/>
        </w:rPr>
        <w:t>. The Company and each of its Subsidiaries maintain insurance from nationally recognized, in the applicable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country, insurers in such amounts and covering such risks as is commercially reasonable in accordance with customary practices for companies engaged in similar businesses and similar industries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8" w:right="1440" w:bottom="1440" w:gutter="0" w:footer="0" w:header="0"/>
        </w:sectPr>
      </w:pPr>
    </w:p>
    <w:bookmarkStart w:id="67" w:name="page68"/>
    <w:bookmarkEnd w:id="67"/>
    <w:p>
      <w:pPr>
        <w:ind w:left="380" w:right="599"/>
        <w:spacing w:after="0" w:line="27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44" w:lineRule="exact"/>
        <w:rPr>
          <w:sz w:val="20"/>
          <w:szCs w:val="20"/>
          <w:color w:val="auto"/>
        </w:rPr>
      </w:pPr>
    </w:p>
    <w:p>
      <w:pPr>
        <w:jc w:val="both"/>
        <w:ind w:left="380" w:right="439" w:firstLine="1076"/>
        <w:spacing w:after="0" w:line="280" w:lineRule="auto"/>
        <w:tabs>
          <w:tab w:leader="none" w:pos="1813"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Related Party Disclosure</w:t>
      </w:r>
      <w:r>
        <w:rPr>
          <w:rFonts w:ascii="Times New Roman" w:cs="Times New Roman" w:eastAsia="Times New Roman" w:hAnsi="Times New Roman"/>
          <w:sz w:val="13"/>
          <w:szCs w:val="13"/>
          <w:color w:val="auto"/>
        </w:rPr>
        <w:t>. No relationship, direct or indirect, exists between or among the Company, on the one hand, and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directors, officers, shareholders, customers or suppliers of the Company, on the other hand, that is required to be described in the Registration Statement or the Prospectus which is not so described.</w:t>
      </w:r>
    </w:p>
    <w:p>
      <w:pPr>
        <w:spacing w:after="0" w:line="42" w:lineRule="exact"/>
        <w:rPr>
          <w:rFonts w:ascii="Times New Roman" w:cs="Times New Roman" w:eastAsia="Times New Roman" w:hAnsi="Times New Roman"/>
          <w:sz w:val="13"/>
          <w:szCs w:val="13"/>
          <w:color w:val="auto"/>
        </w:rPr>
      </w:pPr>
    </w:p>
    <w:p>
      <w:pPr>
        <w:ind w:left="380" w:right="459" w:firstLine="1076"/>
        <w:spacing w:after="0" w:line="301" w:lineRule="auto"/>
        <w:tabs>
          <w:tab w:leader="none" w:pos="1776"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Labor Dispute</w:t>
      </w:r>
      <w:r>
        <w:rPr>
          <w:rFonts w:ascii="Times New Roman" w:cs="Times New Roman" w:eastAsia="Times New Roman" w:hAnsi="Times New Roman"/>
          <w:sz w:val="13"/>
          <w:szCs w:val="13"/>
          <w:color w:val="auto"/>
        </w:rPr>
        <w:t>. No labor disturbance by or dispute with the employees of the Company or any of its Subsidiaries exists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the knowledge of the Company, is imminent that could reasonably be expected to have a Material Adverse Effect.</w:t>
      </w:r>
    </w:p>
    <w:p>
      <w:pPr>
        <w:spacing w:after="0" w:line="28" w:lineRule="exact"/>
        <w:rPr>
          <w:rFonts w:ascii="Times New Roman" w:cs="Times New Roman" w:eastAsia="Times New Roman" w:hAnsi="Times New Roman"/>
          <w:sz w:val="13"/>
          <w:szCs w:val="13"/>
          <w:color w:val="auto"/>
        </w:rPr>
      </w:pPr>
    </w:p>
    <w:p>
      <w:pPr>
        <w:ind w:left="380" w:right="419" w:firstLine="1076"/>
        <w:spacing w:after="0" w:line="265" w:lineRule="auto"/>
        <w:tabs>
          <w:tab w:leader="none" w:pos="1813"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Default</w:t>
      </w:r>
      <w:r>
        <w:rPr>
          <w:rFonts w:ascii="Times New Roman" w:cs="Times New Roman" w:eastAsia="Times New Roman" w:hAnsi="Times New Roman"/>
          <w:sz w:val="13"/>
          <w:szCs w:val="13"/>
          <w:color w:val="auto"/>
        </w:rPr>
        <w:t>. Except as disclosed in the Registration Statement and the Prospectus, neither the Company nor any of 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w:t>
      </w:r>
    </w:p>
    <w:p>
      <w:pPr>
        <w:spacing w:after="0" w:line="214" w:lineRule="exact"/>
        <w:rPr>
          <w:rFonts w:ascii="Times New Roman" w:cs="Times New Roman" w:eastAsia="Times New Roman" w:hAnsi="Times New Roman"/>
          <w:sz w:val="13"/>
          <w:szCs w:val="13"/>
          <w:color w:val="auto"/>
        </w:rPr>
      </w:pPr>
    </w:p>
    <w:p>
      <w:pPr>
        <w:ind w:left="1860" w:hanging="404"/>
        <w:spacing w:after="0"/>
        <w:tabs>
          <w:tab w:leader="none" w:pos="186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Environmental Laws</w:t>
      </w:r>
      <w:r>
        <w:rPr>
          <w:rFonts w:ascii="Times New Roman" w:cs="Times New Roman" w:eastAsia="Times New Roman" w:hAnsi="Times New Roman"/>
          <w:sz w:val="13"/>
          <w:szCs w:val="13"/>
          <w:color w:val="auto"/>
        </w:rPr>
        <w:t>. Except as set forth in the Registration Statement or the Prospectus, the Company and its Subsidiaries</w:t>
      </w:r>
    </w:p>
    <w:p>
      <w:pPr>
        <w:spacing w:after="0" w:line="26" w:lineRule="exact"/>
        <w:rPr>
          <w:rFonts w:ascii="Times New Roman" w:cs="Times New Roman" w:eastAsia="Times New Roman" w:hAnsi="Times New Roman"/>
          <w:sz w:val="13"/>
          <w:szCs w:val="13"/>
          <w:color w:val="auto"/>
        </w:rPr>
      </w:pPr>
    </w:p>
    <w:p>
      <w:pPr>
        <w:ind w:left="380" w:right="479" w:firstLine="5"/>
        <w:spacing w:after="0" w:line="262" w:lineRule="auto"/>
        <w:tabs>
          <w:tab w:leader="none" w:pos="541"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13"/>
          <w:szCs w:val="13"/>
          <w:b w:val="1"/>
          <w:bCs w:val="1"/>
          <w:i w:val="1"/>
          <w:iCs w:val="1"/>
          <w:color w:val="auto"/>
        </w:rPr>
        <w:t>Environmental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Laws</w:t>
      </w:r>
      <w:r>
        <w:rPr>
          <w:rFonts w:ascii="Times New Roman" w:cs="Times New Roman" w:eastAsia="Times New Roman" w:hAnsi="Times New Roman"/>
          <w:sz w:val="13"/>
          <w:szCs w:val="13"/>
          <w:color w:val="auto"/>
        </w:rPr>
        <w:t>”); (ii) have received and are in compliance with all permits, licenses or other approvals required of them under applicable Environmental Laws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reasonably be expected to, individually or in the aggregate, have a Material Adverse Effect.</w:t>
      </w:r>
    </w:p>
    <w:p>
      <w:pPr>
        <w:spacing w:after="0" w:line="54" w:lineRule="exact"/>
        <w:rPr>
          <w:rFonts w:ascii="Times New Roman" w:cs="Times New Roman" w:eastAsia="Times New Roman" w:hAnsi="Times New Roman"/>
          <w:sz w:val="13"/>
          <w:szCs w:val="13"/>
          <w:color w:val="auto"/>
        </w:rPr>
      </w:pPr>
    </w:p>
    <w:p>
      <w:pPr>
        <w:ind w:left="380" w:right="419" w:firstLine="1076"/>
        <w:spacing w:after="0" w:line="273" w:lineRule="auto"/>
        <w:tabs>
          <w:tab w:leader="none" w:pos="1888"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Taxes</w:t>
      </w:r>
      <w:r>
        <w:rPr>
          <w:rFonts w:ascii="Times New Roman" w:cs="Times New Roman" w:eastAsia="Times New Roman" w:hAnsi="Times New Roman"/>
          <w:sz w:val="13"/>
          <w:szCs w:val="13"/>
          <w:color w:val="auto"/>
        </w:rPr>
        <w:t>. The Company and each of its Subsidiaries have filed all federal, state, local and foreign tax returns required to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filed through the date hereof, subject to permitted extensions, and have paid all taxes due, and no tax deficiency has been determined adversely to the Company or any of its Subsidiaries, nor does the Company have any knowledge of any tax deficiencies that have been, or would reasonably be expected to be asserted against the Company, that would, in the aggregate, reasonably be expected to have a Material Adverse Effect.</w:t>
      </w:r>
    </w:p>
    <w:p>
      <w:pPr>
        <w:spacing w:after="0" w:line="46" w:lineRule="exact"/>
        <w:rPr>
          <w:rFonts w:ascii="Times New Roman" w:cs="Times New Roman" w:eastAsia="Times New Roman" w:hAnsi="Times New Roman"/>
          <w:sz w:val="13"/>
          <w:szCs w:val="13"/>
          <w:color w:val="auto"/>
        </w:rPr>
      </w:pPr>
    </w:p>
    <w:p>
      <w:pPr>
        <w:ind w:left="380" w:right="399" w:firstLine="1076"/>
        <w:spacing w:after="0" w:line="263" w:lineRule="auto"/>
        <w:tabs>
          <w:tab w:leader="none" w:pos="1881"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ERISA Compliance</w:t>
      </w:r>
      <w:r>
        <w:rPr>
          <w:rFonts w:ascii="Times New Roman" w:cs="Times New Roman" w:eastAsia="Times New Roman" w:hAnsi="Times New Roman"/>
          <w:sz w:val="13"/>
          <w:szCs w:val="13"/>
          <w:color w:val="auto"/>
        </w:rPr>
        <w:t>. (i) Each “employee benefit plan” (within the meaning of Section 3(3) of the Employee Retirement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Security Act of 1974, as amended (</w:t>
      </w:r>
      <w:r>
        <w:rPr>
          <w:rFonts w:ascii="Times New Roman" w:cs="Times New Roman" w:eastAsia="Times New Roman" w:hAnsi="Times New Roman"/>
          <w:sz w:val="13"/>
          <w:szCs w:val="13"/>
          <w:b w:val="1"/>
          <w:bCs w:val="1"/>
          <w:i w:val="1"/>
          <w:iCs w:val="1"/>
          <w:color w:val="auto"/>
        </w:rPr>
        <w:t>“ERISA”</w:t>
      </w:r>
      <w:r>
        <w:rPr>
          <w:rFonts w:ascii="Times New Roman" w:cs="Times New Roman" w:eastAsia="Times New Roman" w:hAnsi="Times New Roman"/>
          <w:sz w:val="13"/>
          <w:szCs w:val="13"/>
          <w:color w:val="auto"/>
        </w:rPr>
        <w:t xml:space="preserve">)) for which the Company or any member of its “Controlled Group”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13"/>
          <w:szCs w:val="13"/>
          <w:b w:val="1"/>
          <w:bCs w:val="1"/>
          <w:i w:val="1"/>
          <w:iCs w:val="1"/>
          <w:color w:val="auto"/>
        </w:rPr>
        <w:t>“Code”</w:t>
      </w:r>
      <w:r>
        <w:rPr>
          <w:rFonts w:ascii="Times New Roman" w:cs="Times New Roman" w:eastAsia="Times New Roman" w:hAnsi="Times New Roman"/>
          <w:sz w:val="13"/>
          <w:szCs w:val="13"/>
          <w:color w:val="auto"/>
        </w:rPr>
        <w:t xml:space="preserve">)) would have any liability (each a </w:t>
      </w:r>
      <w:r>
        <w:rPr>
          <w:rFonts w:ascii="Times New Roman" w:cs="Times New Roman" w:eastAsia="Times New Roman" w:hAnsi="Times New Roman"/>
          <w:sz w:val="13"/>
          <w:szCs w:val="13"/>
          <w:b w:val="1"/>
          <w:bCs w:val="1"/>
          <w:i w:val="1"/>
          <w:iCs w:val="1"/>
          <w:color w:val="auto"/>
        </w:rPr>
        <w:t>“Plan”</w:t>
      </w:r>
      <w:r>
        <w:rPr>
          <w:rFonts w:ascii="Times New Roman" w:cs="Times New Roman" w:eastAsia="Times New Roman" w:hAnsi="Times New Roman"/>
          <w:sz w:val="13"/>
          <w:szCs w:val="13"/>
          <w:color w:val="auto"/>
        </w:rPr>
        <w:t>) has been maintained in compliance in all material respects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w:t>
      </w:r>
    </w:p>
    <w:p>
      <w:pPr>
        <w:ind w:left="380" w:right="439" w:firstLine="5"/>
        <w:spacing w:after="0" w:line="265" w:lineRule="auto"/>
        <w:tabs>
          <w:tab w:leader="none" w:pos="61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each Plan subject to Title IV of ERISA (A) no “reportable event” (within the meaning of Section 4043(c) of ERISA) has occurred or is reasonably expected to occur that would result in a material loss to the Company, (B) no “accumulated funding deficiency” (within the meaning of Section 302 of ERISA or Section 412 of the Code), whether or not waived, has occurred or is reasonably expected to occur, (C) the fair market value of the assets under each Plan that is required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8" w:right="1440" w:bottom="1440" w:gutter="0" w:footer="0" w:header="0"/>
        </w:sectPr>
      </w:pPr>
    </w:p>
    <w:bookmarkStart w:id="68" w:name="page69"/>
    <w:bookmarkEnd w:id="68"/>
    <w:p>
      <w:pPr>
        <w:ind w:left="38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to be funded exceeds the present value of all benefits accrued under such Plan (determined based on those assumptions used to fund such Plan), and</w:t>
      </w:r>
    </w:p>
    <w:p>
      <w:pPr>
        <w:spacing w:after="0" w:line="24" w:lineRule="exact"/>
        <w:rPr>
          <w:sz w:val="20"/>
          <w:szCs w:val="20"/>
          <w:color w:val="auto"/>
        </w:rPr>
      </w:pPr>
    </w:p>
    <w:p>
      <w:pPr>
        <w:ind w:left="380" w:right="399" w:firstLine="5"/>
        <w:spacing w:after="0" w:line="264" w:lineRule="auto"/>
        <w:tabs>
          <w:tab w:leader="none" w:pos="6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to the Company’s knowledge, whether by action or by failure to act, which would cause the loss of such qualification.</w:t>
      </w:r>
    </w:p>
    <w:p>
      <w:pPr>
        <w:spacing w:after="0" w:line="51" w:lineRule="exact"/>
        <w:rPr>
          <w:rFonts w:ascii="Times New Roman" w:cs="Times New Roman" w:eastAsia="Times New Roman" w:hAnsi="Times New Roman"/>
          <w:sz w:val="13"/>
          <w:szCs w:val="13"/>
          <w:color w:val="auto"/>
        </w:rPr>
      </w:pPr>
    </w:p>
    <w:p>
      <w:pPr>
        <w:jc w:val="both"/>
        <w:ind w:left="380" w:right="539" w:firstLine="1076"/>
        <w:spacing w:after="0" w:line="280" w:lineRule="auto"/>
        <w:tabs>
          <w:tab w:leader="none" w:pos="1843"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Accuracy of Statistical and Market Data</w:t>
      </w:r>
      <w:r>
        <w:rPr>
          <w:rFonts w:ascii="Times New Roman" w:cs="Times New Roman" w:eastAsia="Times New Roman" w:hAnsi="Times New Roman"/>
          <w:sz w:val="13"/>
          <w:szCs w:val="13"/>
          <w:color w:val="auto"/>
        </w:rPr>
        <w:t>. The statistical and market-related data included in the Registration Statement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Prospectus and the consolidated financial statements of the Company and its Subsidiaries included or incorporated by reference in the Registration Statement and the Prospectus are based on or derived from sources that the Company believes to be reliable in all material respects.</w:t>
      </w:r>
    </w:p>
    <w:p>
      <w:pPr>
        <w:spacing w:after="0" w:line="42" w:lineRule="exact"/>
        <w:rPr>
          <w:rFonts w:ascii="Times New Roman" w:cs="Times New Roman" w:eastAsia="Times New Roman" w:hAnsi="Times New Roman"/>
          <w:sz w:val="13"/>
          <w:szCs w:val="13"/>
          <w:color w:val="auto"/>
        </w:rPr>
      </w:pPr>
    </w:p>
    <w:p>
      <w:pPr>
        <w:ind w:left="380" w:right="499" w:firstLine="1076"/>
        <w:spacing w:after="0" w:line="269" w:lineRule="auto"/>
        <w:tabs>
          <w:tab w:leader="none" w:pos="1881"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Not an Investment Company</w:t>
      </w:r>
      <w:r>
        <w:rPr>
          <w:rFonts w:ascii="Times New Roman" w:cs="Times New Roman" w:eastAsia="Times New Roman" w:hAnsi="Times New Roman"/>
          <w:sz w:val="13"/>
          <w:szCs w:val="13"/>
          <w:color w:val="auto"/>
        </w:rPr>
        <w:t>. Neither the Company nor any of its Subsidiaries is, and as of the applicable Settlement Date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and, after giving effect to the offer and sale of the Shares and the application of the proceeds therefrom as described under “Use of Proceeds” in the Registration Statement and the Prospectus, none of them will be, (i) an “investment company” or a company “controlled” by an “investment company” within the meaning of the Investment Company Act of 1940, as amended (the </w:t>
      </w:r>
      <w:r>
        <w:rPr>
          <w:rFonts w:ascii="Times New Roman" w:cs="Times New Roman" w:eastAsia="Times New Roman" w:hAnsi="Times New Roman"/>
          <w:sz w:val="13"/>
          <w:szCs w:val="13"/>
          <w:b w:val="1"/>
          <w:bCs w:val="1"/>
          <w:i w:val="1"/>
          <w:iCs w:val="1"/>
          <w:color w:val="auto"/>
        </w:rPr>
        <w:t>“Investment Company Act”</w:t>
      </w:r>
      <w:r>
        <w:rPr>
          <w:rFonts w:ascii="Times New Roman" w:cs="Times New Roman" w:eastAsia="Times New Roman" w:hAnsi="Times New Roman"/>
          <w:sz w:val="13"/>
          <w:szCs w:val="13"/>
          <w:color w:val="auto"/>
        </w:rPr>
        <w:t>), and the rules and regulations of the Commission thereunder, or (ii) a “business development company” (as defined in Section 2(a)(48) of the Investment Company Act).</w:t>
      </w:r>
    </w:p>
    <w:p>
      <w:pPr>
        <w:spacing w:after="0" w:line="50" w:lineRule="exact"/>
        <w:rPr>
          <w:rFonts w:ascii="Times New Roman" w:cs="Times New Roman" w:eastAsia="Times New Roman" w:hAnsi="Times New Roman"/>
          <w:sz w:val="13"/>
          <w:szCs w:val="13"/>
          <w:color w:val="auto"/>
        </w:rPr>
      </w:pPr>
    </w:p>
    <w:p>
      <w:pPr>
        <w:ind w:left="380" w:right="459" w:firstLine="1076"/>
        <w:spacing w:after="0" w:line="273" w:lineRule="auto"/>
        <w:tabs>
          <w:tab w:leader="none" w:pos="1918"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Registration Rights</w:t>
      </w:r>
      <w:r>
        <w:rPr>
          <w:rFonts w:ascii="Times New Roman" w:cs="Times New Roman" w:eastAsia="Times New Roman" w:hAnsi="Times New Roman"/>
          <w:sz w:val="13"/>
          <w:szCs w:val="13"/>
          <w:color w:val="auto"/>
        </w:rPr>
        <w:t>. Except as disclosed in the Registration Statement and the Prospectus, there are no contracts,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agreements or understandings between the Company and any person granting such person the right to require the Company to file a registration statement under the Securities Act with respect to any securities of the Company owned or to be owned by such person. There are no contracts, agreements or understandings to require the Company to include any such securities in the securities proposed to be offered pursuant to this Agreement.</w:t>
      </w:r>
    </w:p>
    <w:p>
      <w:pPr>
        <w:spacing w:after="0" w:line="46" w:lineRule="exact"/>
        <w:rPr>
          <w:rFonts w:ascii="Times New Roman" w:cs="Times New Roman" w:eastAsia="Times New Roman" w:hAnsi="Times New Roman"/>
          <w:sz w:val="13"/>
          <w:szCs w:val="13"/>
          <w:color w:val="auto"/>
        </w:rPr>
      </w:pPr>
    </w:p>
    <w:p>
      <w:pPr>
        <w:jc w:val="both"/>
        <w:ind w:left="380" w:right="459" w:firstLine="1076"/>
        <w:spacing w:after="0" w:line="280" w:lineRule="auto"/>
        <w:tabs>
          <w:tab w:leader="none" w:pos="1955"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Other Brokers</w:t>
      </w:r>
      <w:r>
        <w:rPr>
          <w:rFonts w:ascii="Times New Roman" w:cs="Times New Roman" w:eastAsia="Times New Roman" w:hAnsi="Times New Roman"/>
          <w:sz w:val="13"/>
          <w:szCs w:val="13"/>
          <w:color w:val="auto"/>
        </w:rPr>
        <w:t>. Neither the Company nor any of its Subsidiaries is a party to any contract, agreement or understanding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 any person (other than this Agreement) that would give rise to a valid claim against any of them or the Agent for a brokerage commission, finder’s fee or like payment in connection with the offering and sale of the Shares.</w:t>
      </w:r>
    </w:p>
    <w:p>
      <w:pPr>
        <w:spacing w:after="0" w:line="42" w:lineRule="exact"/>
        <w:rPr>
          <w:rFonts w:ascii="Times New Roman" w:cs="Times New Roman" w:eastAsia="Times New Roman" w:hAnsi="Times New Roman"/>
          <w:sz w:val="13"/>
          <w:szCs w:val="13"/>
          <w:color w:val="auto"/>
        </w:rPr>
      </w:pPr>
    </w:p>
    <w:p>
      <w:pPr>
        <w:ind w:left="380" w:right="539" w:firstLine="1076"/>
        <w:spacing w:after="0" w:line="301" w:lineRule="auto"/>
        <w:tabs>
          <w:tab w:leader="none" w:pos="1881"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Integration</w:t>
      </w:r>
      <w:r>
        <w:rPr>
          <w:rFonts w:ascii="Times New Roman" w:cs="Times New Roman" w:eastAsia="Times New Roman" w:hAnsi="Times New Roman"/>
          <w:sz w:val="13"/>
          <w:szCs w:val="13"/>
          <w:color w:val="auto"/>
        </w:rPr>
        <w:t>. The Company has not sold or issued any securities that would be integrated with the offering of the Shares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contemplated by this Agreement pursuant to the Securities Act or the interpretations thereof by the Commission.</w:t>
      </w:r>
    </w:p>
    <w:p>
      <w:pPr>
        <w:spacing w:after="0" w:line="29" w:lineRule="exact"/>
        <w:rPr>
          <w:sz w:val="20"/>
          <w:szCs w:val="20"/>
          <w:color w:val="auto"/>
        </w:rPr>
      </w:pPr>
    </w:p>
    <w:p>
      <w:pPr>
        <w:ind w:left="380" w:right="459" w:firstLine="1071"/>
        <w:spacing w:after="0" w:line="280" w:lineRule="auto"/>
        <w:rPr>
          <w:sz w:val="20"/>
          <w:szCs w:val="20"/>
          <w:color w:val="auto"/>
        </w:rPr>
      </w:pPr>
      <w:r>
        <w:rPr>
          <w:rFonts w:ascii="Times New Roman" w:cs="Times New Roman" w:eastAsia="Times New Roman" w:hAnsi="Times New Roman"/>
          <w:sz w:val="13"/>
          <w:szCs w:val="13"/>
          <w:color w:val="auto"/>
        </w:rPr>
        <w:t xml:space="preserve">(xl) </w:t>
      </w:r>
      <w:r>
        <w:rPr>
          <w:rFonts w:ascii="Times New Roman" w:cs="Times New Roman" w:eastAsia="Times New Roman" w:hAnsi="Times New Roman"/>
          <w:sz w:val="13"/>
          <w:szCs w:val="13"/>
          <w:i w:val="1"/>
          <w:iCs w:val="1"/>
          <w:color w:val="auto"/>
        </w:rPr>
        <w:t>Absence of Stabilization or Manipulation</w:t>
      </w:r>
      <w:r>
        <w:rPr>
          <w:rFonts w:ascii="Times New Roman" w:cs="Times New Roman" w:eastAsia="Times New Roman" w:hAnsi="Times New Roman"/>
          <w:sz w:val="13"/>
          <w:szCs w:val="13"/>
          <w:color w:val="auto"/>
        </w:rPr>
        <w:t>. 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42" w:lineRule="exact"/>
        <w:rPr>
          <w:sz w:val="20"/>
          <w:szCs w:val="20"/>
          <w:color w:val="auto"/>
        </w:rPr>
      </w:pPr>
    </w:p>
    <w:p>
      <w:pPr>
        <w:ind w:left="380" w:right="459" w:firstLine="1071"/>
        <w:spacing w:after="0" w:line="263" w:lineRule="auto"/>
        <w:rPr>
          <w:sz w:val="20"/>
          <w:szCs w:val="20"/>
          <w:color w:val="auto"/>
        </w:rPr>
      </w:pPr>
      <w:r>
        <w:rPr>
          <w:rFonts w:ascii="Times New Roman" w:cs="Times New Roman" w:eastAsia="Times New Roman" w:hAnsi="Times New Roman"/>
          <w:sz w:val="13"/>
          <w:szCs w:val="13"/>
          <w:color w:val="auto"/>
        </w:rPr>
        <w:t xml:space="preserve">(xli) </w:t>
      </w:r>
      <w:r>
        <w:rPr>
          <w:rFonts w:ascii="Times New Roman" w:cs="Times New Roman" w:eastAsia="Times New Roman" w:hAnsi="Times New Roman"/>
          <w:sz w:val="13"/>
          <w:szCs w:val="13"/>
          <w:i w:val="1"/>
          <w:iCs w:val="1"/>
          <w:color w:val="auto"/>
        </w:rPr>
        <w:t>Exchange Act Registration and Listing of the Common Shares</w:t>
      </w:r>
      <w:r>
        <w:rPr>
          <w:rFonts w:ascii="Times New Roman" w:cs="Times New Roman" w:eastAsia="Times New Roman" w:hAnsi="Times New Roman"/>
          <w:sz w:val="13"/>
          <w:szCs w:val="13"/>
          <w:color w:val="auto"/>
        </w:rPr>
        <w:t>. The Common Shares are registered pursuant to Section 12(b) of the Exchange Act and listed on the Exchange; the Company has taken no action designed to, or reasonably likely to have the effect of, terminating the registration of the Common Shares under the Exchange Act or delisting the Common Shares from the Exchange, nor has the Company received any notification that the Commission or FINRA is contemplating terminating such registration or listing. The Common Shares are currently listed on the Exchange under the trading symbol “PSTV”. Except as disclosed in the Registration Statement and the Prospectus, the Company has not, in the twelve</w:t>
      </w:r>
    </w:p>
    <w:p>
      <w:pPr>
        <w:spacing w:after="0" w:line="3" w:lineRule="exact"/>
        <w:rPr>
          <w:sz w:val="20"/>
          <w:szCs w:val="20"/>
          <w:color w:val="auto"/>
        </w:rPr>
      </w:pPr>
    </w:p>
    <w:p>
      <w:pPr>
        <w:ind w:left="380" w:right="759" w:firstLine="5"/>
        <w:spacing w:after="0" w:line="268" w:lineRule="auto"/>
        <w:tabs>
          <w:tab w:leader="none" w:pos="63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months preceding the date hereof, received any notice from any Person to the effect that the Company is not in compliance with the rules and regulations of the Exchange. The Company is, and has no reason to believe that it will not in the foreseeable future continue to be, in material compliance with the rules and regulations of the Exchange.</w:t>
      </w:r>
    </w:p>
    <w:p>
      <w:pPr>
        <w:spacing w:after="0" w:line="50" w:lineRule="exact"/>
        <w:rPr>
          <w:sz w:val="20"/>
          <w:szCs w:val="20"/>
          <w:color w:val="auto"/>
        </w:rPr>
      </w:pPr>
    </w:p>
    <w:p>
      <w:pPr>
        <w:jc w:val="both"/>
        <w:ind w:left="380" w:right="459" w:firstLine="1071"/>
        <w:spacing w:after="0" w:line="280" w:lineRule="auto"/>
        <w:rPr>
          <w:sz w:val="20"/>
          <w:szCs w:val="20"/>
          <w:color w:val="auto"/>
        </w:rPr>
      </w:pPr>
      <w:r>
        <w:rPr>
          <w:rFonts w:ascii="Times New Roman" w:cs="Times New Roman" w:eastAsia="Times New Roman" w:hAnsi="Times New Roman"/>
          <w:sz w:val="13"/>
          <w:szCs w:val="13"/>
          <w:color w:val="auto"/>
        </w:rPr>
        <w:t xml:space="preserve">(xlii) </w:t>
      </w:r>
      <w:r>
        <w:rPr>
          <w:rFonts w:ascii="Times New Roman" w:cs="Times New Roman" w:eastAsia="Times New Roman" w:hAnsi="Times New Roman"/>
          <w:sz w:val="13"/>
          <w:szCs w:val="13"/>
          <w:i w:val="1"/>
          <w:iCs w:val="1"/>
          <w:color w:val="auto"/>
        </w:rPr>
        <w:t>Offering Material</w:t>
      </w:r>
      <w:r>
        <w:rPr>
          <w:rFonts w:ascii="Times New Roman" w:cs="Times New Roman" w:eastAsia="Times New Roman" w:hAnsi="Times New Roman"/>
          <w:sz w:val="13"/>
          <w:szCs w:val="13"/>
          <w:color w:val="auto"/>
        </w:rPr>
        <w:t>. The Company has not distributed and prior to any Settlement Date, will not distribute any offering material in connection with any Placement (as defined in Section 2(a)(i) below), other than the Prospectus, and any Permitted Free Writing Prospectus to which the Agent has consented.</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8" w:right="1440" w:bottom="1440" w:gutter="0" w:footer="0" w:header="0"/>
        </w:sectPr>
      </w:pPr>
    </w:p>
    <w:bookmarkStart w:id="69" w:name="page70"/>
    <w:bookmarkEnd w:id="69"/>
    <w:p>
      <w:pPr>
        <w:ind w:left="380" w:right="519" w:firstLine="1071"/>
        <w:spacing w:after="0" w:line="27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(xliii) </w:t>
      </w:r>
      <w:r>
        <w:rPr>
          <w:rFonts w:ascii="Times New Roman" w:cs="Times New Roman" w:eastAsia="Times New Roman" w:hAnsi="Times New Roman"/>
          <w:sz w:val="13"/>
          <w:szCs w:val="13"/>
          <w:i w:val="1"/>
          <w:iCs w:val="1"/>
          <w:color w:val="auto"/>
        </w:rPr>
        <w:t>Compliance with Labor Laws</w:t>
      </w:r>
      <w:r>
        <w:rPr>
          <w:rFonts w:ascii="Times New Roman" w:cs="Times New Roman" w:eastAsia="Times New Roman" w:hAnsi="Times New Roman"/>
          <w:sz w:val="13"/>
          <w:szCs w:val="13"/>
          <w:color w:val="auto"/>
        </w:rPr>
        <w:t>. Neither the Company nor any Subsidiary is in violation of or has received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could reasonably be expected to have a Material Adverse Effect.</w:t>
      </w:r>
    </w:p>
    <w:p>
      <w:pPr>
        <w:spacing w:after="0" w:line="47" w:lineRule="exact"/>
        <w:rPr>
          <w:sz w:val="20"/>
          <w:szCs w:val="20"/>
          <w:color w:val="auto"/>
        </w:rPr>
      </w:pPr>
    </w:p>
    <w:p>
      <w:pPr>
        <w:ind w:left="380" w:right="439" w:firstLine="1071"/>
        <w:spacing w:after="0" w:line="263" w:lineRule="auto"/>
        <w:rPr>
          <w:sz w:val="20"/>
          <w:szCs w:val="20"/>
          <w:color w:val="auto"/>
        </w:rPr>
      </w:pPr>
      <w:r>
        <w:rPr>
          <w:rFonts w:ascii="Times New Roman" w:cs="Times New Roman" w:eastAsia="Times New Roman" w:hAnsi="Times New Roman"/>
          <w:sz w:val="13"/>
          <w:szCs w:val="13"/>
          <w:color w:val="auto"/>
        </w:rPr>
        <w:t xml:space="preserve">(xliv) </w:t>
      </w:r>
      <w:r>
        <w:rPr>
          <w:rFonts w:ascii="Times New Roman" w:cs="Times New Roman" w:eastAsia="Times New Roman" w:hAnsi="Times New Roman"/>
          <w:sz w:val="13"/>
          <w:szCs w:val="13"/>
          <w:i w:val="1"/>
          <w:iCs w:val="1"/>
          <w:color w:val="auto"/>
        </w:rPr>
        <w:t>No Unlawful Payments</w:t>
      </w:r>
      <w:r>
        <w:rPr>
          <w:rFonts w:ascii="Times New Roman" w:cs="Times New Roman" w:eastAsia="Times New Roman" w:hAnsi="Times New Roman"/>
          <w:sz w:val="13"/>
          <w:szCs w:val="13"/>
          <w:color w:val="auto"/>
        </w:rPr>
        <w:t>. Neither the Company nor any of its Subsidiaries, nor, to the knowledge of the Company, any director,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the Organization for Economic Co-operation and Development Convention on Bribery of Foreign Public Officials in International Business Transactions, and the rules and regulations thereunder and any other similar foreign or domestic law or regulation; or</w:t>
      </w:r>
    </w:p>
    <w:p>
      <w:pPr>
        <w:spacing w:after="0" w:line="1" w:lineRule="exact"/>
        <w:rPr>
          <w:sz w:val="20"/>
          <w:szCs w:val="20"/>
          <w:color w:val="auto"/>
        </w:rPr>
      </w:pPr>
    </w:p>
    <w:p>
      <w:pPr>
        <w:ind w:left="380" w:right="639" w:firstLine="5"/>
        <w:spacing w:after="0" w:line="278" w:lineRule="auto"/>
        <w:tabs>
          <w:tab w:leader="none" w:pos="60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made any bribe, rebate, payoff, influence payment, kickback or other unlawful payment. The Company has instituted and maintains policies and procedures designed to ensure continued compliance with the laws and regulations referenced in clause (iii) of this paragraph.</w:t>
      </w:r>
    </w:p>
    <w:p>
      <w:pPr>
        <w:spacing w:after="0" w:line="43" w:lineRule="exact"/>
        <w:rPr>
          <w:sz w:val="20"/>
          <w:szCs w:val="20"/>
          <w:color w:val="auto"/>
        </w:rPr>
      </w:pPr>
    </w:p>
    <w:p>
      <w:pPr>
        <w:ind w:left="380" w:right="399" w:firstLine="1071"/>
        <w:spacing w:after="0" w:line="267" w:lineRule="auto"/>
        <w:rPr>
          <w:sz w:val="20"/>
          <w:szCs w:val="20"/>
          <w:color w:val="auto"/>
        </w:rPr>
      </w:pPr>
      <w:r>
        <w:rPr>
          <w:rFonts w:ascii="Times New Roman" w:cs="Times New Roman" w:eastAsia="Times New Roman" w:hAnsi="Times New Roman"/>
          <w:sz w:val="13"/>
          <w:szCs w:val="13"/>
          <w:color w:val="auto"/>
        </w:rPr>
        <w:t xml:space="preserve">(xlv) </w:t>
      </w:r>
      <w:r>
        <w:rPr>
          <w:rFonts w:ascii="Times New Roman" w:cs="Times New Roman" w:eastAsia="Times New Roman" w:hAnsi="Times New Roman"/>
          <w:sz w:val="13"/>
          <w:szCs w:val="13"/>
          <w:i w:val="1"/>
          <w:iCs w:val="1"/>
          <w:color w:val="auto"/>
        </w:rPr>
        <w:t>Anti-Money Laundering Compliance</w:t>
      </w:r>
      <w:r>
        <w:rPr>
          <w:rFonts w:ascii="Times New Roman" w:cs="Times New Roman" w:eastAsia="Times New Roman" w:hAnsi="Times New Roman"/>
          <w:sz w:val="13"/>
          <w:szCs w:val="13"/>
          <w:color w:val="auto"/>
        </w:rPr>
        <w:t xml:space="preserve">.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applicable related or similar rules, regulations or guidelines, issued, administered or enforced by any governmental agency (collectively, the </w:t>
      </w:r>
      <w:r>
        <w:rPr>
          <w:rFonts w:ascii="Times New Roman" w:cs="Times New Roman" w:eastAsia="Times New Roman" w:hAnsi="Times New Roman"/>
          <w:sz w:val="13"/>
          <w:szCs w:val="13"/>
          <w:b w:val="1"/>
          <w:bCs w:val="1"/>
          <w:i w:val="1"/>
          <w:iCs w:val="1"/>
          <w:color w:val="auto"/>
        </w:rPr>
        <w:t>“Money Laundering Laws”</w:t>
      </w:r>
      <w:r>
        <w:rPr>
          <w:rFonts w:ascii="Times New Roman" w:cs="Times New Roman" w:eastAsia="Times New Roman" w:hAnsi="Times New Roman"/>
          <w:sz w:val="13"/>
          <w:szCs w:val="13"/>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52" w:lineRule="exact"/>
        <w:rPr>
          <w:sz w:val="20"/>
          <w:szCs w:val="20"/>
          <w:color w:val="auto"/>
        </w:rPr>
      </w:pPr>
    </w:p>
    <w:p>
      <w:pPr>
        <w:ind w:left="380" w:right="479" w:firstLine="1071"/>
        <w:spacing w:after="0" w:line="269" w:lineRule="auto"/>
        <w:rPr>
          <w:sz w:val="20"/>
          <w:szCs w:val="20"/>
          <w:color w:val="auto"/>
        </w:rPr>
      </w:pPr>
      <w:r>
        <w:rPr>
          <w:rFonts w:ascii="Times New Roman" w:cs="Times New Roman" w:eastAsia="Times New Roman" w:hAnsi="Times New Roman"/>
          <w:sz w:val="13"/>
          <w:szCs w:val="13"/>
          <w:color w:val="auto"/>
        </w:rPr>
        <w:t xml:space="preserve">(xlvi) </w:t>
      </w:r>
      <w:r>
        <w:rPr>
          <w:rFonts w:ascii="Times New Roman" w:cs="Times New Roman" w:eastAsia="Times New Roman" w:hAnsi="Times New Roman"/>
          <w:sz w:val="13"/>
          <w:szCs w:val="13"/>
          <w:i w:val="1"/>
          <w:iCs w:val="1"/>
          <w:color w:val="auto"/>
        </w:rPr>
        <w:t>OFAC Compliance</w:t>
      </w:r>
      <w:r>
        <w:rPr>
          <w:rFonts w:ascii="Times New Roman" w:cs="Times New Roman" w:eastAsia="Times New Roman" w:hAnsi="Times New Roman"/>
          <w:sz w:val="13"/>
          <w:szCs w:val="13"/>
          <w:color w:val="auto"/>
        </w:rPr>
        <w:t>. 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w:t>
      </w:r>
      <w:r>
        <w:rPr>
          <w:rFonts w:ascii="Times New Roman" w:cs="Times New Roman" w:eastAsia="Times New Roman" w:hAnsi="Times New Roman"/>
          <w:sz w:val="13"/>
          <w:szCs w:val="13"/>
          <w:b w:val="1"/>
          <w:bCs w:val="1"/>
          <w:i w:val="1"/>
          <w:iCs w:val="1"/>
          <w:color w:val="auto"/>
        </w:rPr>
        <w:t>“OFAC”</w:t>
      </w:r>
      <w:r>
        <w:rPr>
          <w:rFonts w:ascii="Times New Roman" w:cs="Times New Roman" w:eastAsia="Times New Roman" w:hAnsi="Times New Roman"/>
          <w:sz w:val="13"/>
          <w:szCs w:val="13"/>
          <w:color w:val="auto"/>
        </w:rPr>
        <w:t>); and the Company will not directly or indirectly use the proceeds of the offering, or lend, contribute or otherwise make available such proceeds to any joint venture partner or other person or entity, for the purpose of financing the activities of any person currently subject to any U.S. sanctions administered by OFAC.</w:t>
      </w:r>
    </w:p>
    <w:p>
      <w:pPr>
        <w:spacing w:after="0" w:line="51" w:lineRule="exact"/>
        <w:rPr>
          <w:sz w:val="20"/>
          <w:szCs w:val="20"/>
          <w:color w:val="auto"/>
        </w:rPr>
      </w:pPr>
    </w:p>
    <w:p>
      <w:pPr>
        <w:jc w:val="both"/>
        <w:ind w:left="380" w:right="499" w:firstLine="1071"/>
        <w:spacing w:after="0" w:line="280" w:lineRule="auto"/>
        <w:rPr>
          <w:sz w:val="20"/>
          <w:szCs w:val="20"/>
          <w:color w:val="auto"/>
        </w:rPr>
      </w:pPr>
      <w:r>
        <w:rPr>
          <w:rFonts w:ascii="Times New Roman" w:cs="Times New Roman" w:eastAsia="Times New Roman" w:hAnsi="Times New Roman"/>
          <w:sz w:val="13"/>
          <w:szCs w:val="13"/>
          <w:color w:val="auto"/>
        </w:rPr>
        <w:t xml:space="preserve">(xlvii) </w:t>
      </w:r>
      <w:r>
        <w:rPr>
          <w:rFonts w:ascii="Times New Roman" w:cs="Times New Roman" w:eastAsia="Times New Roman" w:hAnsi="Times New Roman"/>
          <w:sz w:val="13"/>
          <w:szCs w:val="13"/>
          <w:i w:val="1"/>
          <w:iCs w:val="1"/>
          <w:color w:val="auto"/>
        </w:rPr>
        <w:t>No Taxes or Fees Due Upon Issuance</w:t>
      </w:r>
      <w:r>
        <w:rPr>
          <w:rFonts w:ascii="Times New Roman" w:cs="Times New Roman" w:eastAsia="Times New Roman" w:hAnsi="Times New Roman"/>
          <w:sz w:val="13"/>
          <w:szCs w:val="13"/>
          <w:color w:val="auto"/>
        </w:rPr>
        <w:t>. No stamp, issue, registration, documentary, transfer or other similar taxes and duties, including interest and penalties, are payable on or in connection with the issuance and sale of the Shares by the Company or the execution and delivery of this Agreement.</w:t>
      </w:r>
    </w:p>
    <w:p>
      <w:pPr>
        <w:spacing w:after="0" w:line="42" w:lineRule="exact"/>
        <w:rPr>
          <w:sz w:val="20"/>
          <w:szCs w:val="20"/>
          <w:color w:val="auto"/>
        </w:rPr>
      </w:pPr>
    </w:p>
    <w:p>
      <w:pPr>
        <w:ind w:left="380" w:right="619" w:firstLine="1071"/>
        <w:spacing w:after="0" w:line="280" w:lineRule="auto"/>
        <w:rPr>
          <w:sz w:val="20"/>
          <w:szCs w:val="20"/>
          <w:color w:val="auto"/>
        </w:rPr>
      </w:pPr>
      <w:r>
        <w:rPr>
          <w:rFonts w:ascii="Times New Roman" w:cs="Times New Roman" w:eastAsia="Times New Roman" w:hAnsi="Times New Roman"/>
          <w:sz w:val="13"/>
          <w:szCs w:val="13"/>
          <w:color w:val="auto"/>
        </w:rPr>
        <w:t xml:space="preserve">(xlviii) </w:t>
      </w:r>
      <w:r>
        <w:rPr>
          <w:rFonts w:ascii="Times New Roman" w:cs="Times New Roman" w:eastAsia="Times New Roman" w:hAnsi="Times New Roman"/>
          <w:sz w:val="13"/>
          <w:szCs w:val="13"/>
          <w:i w:val="1"/>
          <w:iCs w:val="1"/>
          <w:color w:val="auto"/>
        </w:rPr>
        <w:t>No Immunity</w:t>
      </w:r>
      <w:r>
        <w:rPr>
          <w:rFonts w:ascii="Times New Roman" w:cs="Times New Roman" w:eastAsia="Times New Roman" w:hAnsi="Times New Roman"/>
          <w:sz w:val="13"/>
          <w:szCs w:val="13"/>
          <w:color w:val="auto"/>
        </w:rPr>
        <w:t>. Neither the Company nor any Subsidiary, nor any of their respective properties or assets, has any immunity from the jurisdiction of any court or from any legal process (whether through service or notice, attachment to prior judgment, attachment in aid of execution or otherwise) under the laws of any jurisdiction in which it is organized, headquartered or doing business.</w:t>
      </w:r>
    </w:p>
    <w:p>
      <w:pPr>
        <w:spacing w:after="0" w:line="42" w:lineRule="exact"/>
        <w:rPr>
          <w:sz w:val="20"/>
          <w:szCs w:val="20"/>
          <w:color w:val="auto"/>
        </w:rPr>
      </w:pPr>
    </w:p>
    <w:p>
      <w:pPr>
        <w:ind w:left="380" w:right="439" w:firstLine="1071"/>
        <w:spacing w:after="0" w:line="301" w:lineRule="auto"/>
        <w:rPr>
          <w:sz w:val="20"/>
          <w:szCs w:val="20"/>
          <w:color w:val="auto"/>
        </w:rPr>
      </w:pPr>
      <w:r>
        <w:rPr>
          <w:rFonts w:ascii="Times New Roman" w:cs="Times New Roman" w:eastAsia="Times New Roman" w:hAnsi="Times New Roman"/>
          <w:sz w:val="13"/>
          <w:szCs w:val="13"/>
          <w:color w:val="auto"/>
        </w:rPr>
        <w:t xml:space="preserve">(xlix) </w:t>
      </w:r>
      <w:r>
        <w:rPr>
          <w:rFonts w:ascii="Times New Roman" w:cs="Times New Roman" w:eastAsia="Times New Roman" w:hAnsi="Times New Roman"/>
          <w:sz w:val="13"/>
          <w:szCs w:val="13"/>
          <w:i w:val="1"/>
          <w:iCs w:val="1"/>
          <w:color w:val="auto"/>
        </w:rPr>
        <w:t>No Legal, Accounting or Tax Advice</w:t>
      </w:r>
      <w:r>
        <w:rPr>
          <w:rFonts w:ascii="Times New Roman" w:cs="Times New Roman" w:eastAsia="Times New Roman" w:hAnsi="Times New Roman"/>
          <w:sz w:val="13"/>
          <w:szCs w:val="13"/>
          <w:color w:val="auto"/>
        </w:rPr>
        <w:t>. The Company has not relied upon the Agent or legal counsel for the Agent for any legal, tax or accounting advice in connection with the offering and sale of the Shares.</w:t>
      </w:r>
    </w:p>
    <w:p>
      <w:pPr>
        <w:spacing w:after="0" w:line="29" w:lineRule="exact"/>
        <w:rPr>
          <w:sz w:val="20"/>
          <w:szCs w:val="20"/>
          <w:color w:val="auto"/>
        </w:rPr>
      </w:pPr>
    </w:p>
    <w:p>
      <w:pPr>
        <w:ind w:left="380" w:right="519" w:firstLine="1076"/>
        <w:spacing w:after="0" w:line="280" w:lineRule="auto"/>
        <w:tabs>
          <w:tab w:leader="none" w:pos="1611"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Certificate as Representation and Warranty</w:t>
      </w:r>
      <w:r>
        <w:rPr>
          <w:rFonts w:ascii="Times New Roman" w:cs="Times New Roman" w:eastAsia="Times New Roman" w:hAnsi="Times New Roman"/>
          <w:sz w:val="13"/>
          <w:szCs w:val="13"/>
          <w:color w:val="auto"/>
        </w:rPr>
        <w:t>. Any certificate signed by any officer of the Company and delivered to the Agent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Agent’s counsel in connection with the offering of the Shares shall be deemed a representation and warranty by the Company to Agent as to the matters covered thereby.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6" w:right="1440" w:bottom="1440" w:gutter="0" w:footer="0" w:header="0"/>
        </w:sectPr>
      </w:pPr>
    </w:p>
    <w:bookmarkStart w:id="70" w:name="page71"/>
    <w:bookmarkEnd w:id="70"/>
    <w:p>
      <w:pPr>
        <w:ind w:left="840" w:hanging="126"/>
        <w:spacing w:after="0"/>
        <w:tabs>
          <w:tab w:leader="none" w:pos="840"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Purchase, Sale and Delivery of Shares</w:t>
      </w:r>
      <w:r>
        <w:rPr>
          <w:rFonts w:ascii="Times New Roman" w:cs="Times New Roman" w:eastAsia="Times New Roman" w:hAnsi="Times New Roman"/>
          <w:sz w:val="13"/>
          <w:szCs w:val="13"/>
          <w:color w:val="auto"/>
        </w:rPr>
        <w:t>.</w:t>
      </w:r>
    </w:p>
    <w:p>
      <w:pPr>
        <w:spacing w:after="0" w:line="94" w:lineRule="exact"/>
        <w:rPr>
          <w:rFonts w:ascii="Times New Roman" w:cs="Times New Roman" w:eastAsia="Times New Roman" w:hAnsi="Times New Roman"/>
          <w:sz w:val="13"/>
          <w:szCs w:val="13"/>
          <w:color w:val="auto"/>
        </w:rPr>
      </w:pPr>
    </w:p>
    <w:p>
      <w:pPr>
        <w:ind w:left="380" w:right="419" w:firstLine="747"/>
        <w:spacing w:after="0" w:line="265" w:lineRule="auto"/>
        <w:tabs>
          <w:tab w:leader="none" w:pos="1304" w:val="left"/>
        </w:tabs>
        <w:numPr>
          <w:ilvl w:val="2"/>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At-the-Market Sales. </w:t>
      </w:r>
      <w:r>
        <w:rPr>
          <w:rFonts w:ascii="Times New Roman" w:cs="Times New Roman" w:eastAsia="Times New Roman" w:hAnsi="Times New Roman"/>
          <w:sz w:val="13"/>
          <w:szCs w:val="13"/>
          <w:color w:val="auto"/>
        </w:rPr>
        <w:t>On the basis of the representations, warranties and agreements herein contained, but subject to the terms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conditions herein set forth, the Company agrees to issue and sell through the Agent as sales agent, and the Agent agrees to use its commercially reasonable efforts to sell for and on behalf of the Company, the Shares on the following terms and conditions;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any obligation of the Agent to use such commercially reasonable efforts shall be subject to the continuing accuracy of the representations and warranties of the Company herein, the performance by the Company of its covenants and obligations hereunder and the continuing satisfaction of the additional conditions specified in Section 4 of this Agreement. The Company acknowledges and agrees that (i) there can be no assurance that the Agent will be successful in selling Shares, and (ii) the Agent will incur no liability or obligation to the Company or any other person or entity if it does not sell Shares for any reason other than a failure by Agent to use its commercially reasonable efforts consistent with its normal trading and sales practices to sell such Shares as required under this Section 2.</w:t>
      </w:r>
    </w:p>
    <w:p>
      <w:pPr>
        <w:spacing w:after="0" w:line="212" w:lineRule="exact"/>
        <w:rPr>
          <w:rFonts w:ascii="Times New Roman" w:cs="Times New Roman" w:eastAsia="Times New Roman" w:hAnsi="Times New Roman"/>
          <w:sz w:val="13"/>
          <w:szCs w:val="13"/>
          <w:color w:val="auto"/>
        </w:rPr>
      </w:pPr>
    </w:p>
    <w:p>
      <w:pPr>
        <w:ind w:left="380" w:right="399" w:firstLine="1076"/>
        <w:spacing w:after="0" w:line="261" w:lineRule="auto"/>
        <w:tabs>
          <w:tab w:leader="none" w:pos="1611" w:val="left"/>
        </w:tabs>
        <w:numPr>
          <w:ilvl w:val="3"/>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time that the Company wishes to issue and sell the Shares hereunder (each, a </w:t>
      </w:r>
      <w:r>
        <w:rPr>
          <w:rFonts w:ascii="Times New Roman" w:cs="Times New Roman" w:eastAsia="Times New Roman" w:hAnsi="Times New Roman"/>
          <w:sz w:val="13"/>
          <w:szCs w:val="13"/>
          <w:b w:val="1"/>
          <w:bCs w:val="1"/>
          <w:i w:val="1"/>
          <w:iCs w:val="1"/>
          <w:color w:val="auto"/>
        </w:rPr>
        <w:t>“Placement”</w:t>
      </w:r>
      <w:r>
        <w:rPr>
          <w:rFonts w:ascii="Times New Roman" w:cs="Times New Roman" w:eastAsia="Times New Roman" w:hAnsi="Times New Roman"/>
          <w:sz w:val="13"/>
          <w:szCs w:val="13"/>
          <w:color w:val="auto"/>
        </w:rPr>
        <w:t xml:space="preserve">), it will notify Agent by email notice (or other method mutually agreed to in writing by the parties) (a </w:t>
      </w:r>
      <w:r>
        <w:rPr>
          <w:rFonts w:ascii="Times New Roman" w:cs="Times New Roman" w:eastAsia="Times New Roman" w:hAnsi="Times New Roman"/>
          <w:sz w:val="13"/>
          <w:szCs w:val="13"/>
          <w:b w:val="1"/>
          <w:bCs w:val="1"/>
          <w:i w:val="1"/>
          <w:iCs w:val="1"/>
          <w:color w:val="auto"/>
        </w:rPr>
        <w:t>“Placement Notice”</w:t>
      </w:r>
      <w:r>
        <w:rPr>
          <w:rFonts w:ascii="Times New Roman" w:cs="Times New Roman" w:eastAsia="Times New Roman" w:hAnsi="Times New Roman"/>
          <w:sz w:val="13"/>
          <w:szCs w:val="13"/>
          <w:color w:val="auto"/>
        </w:rPr>
        <w:t xml:space="preserve">) containing the parameters in accordance with which it desires the Shares to be sold, which shall at a minimum include the number of Shares to be issued, the time period during which sales are requested to be made, any limitation on the number of Shares that may be sold in any one Trading Day (as defined below) and any minimum price below which sales may not be made, a form of which containing such minimum sales parameters necessary is attached hereto as </w:t>
      </w:r>
      <w:r>
        <w:rPr>
          <w:rFonts w:ascii="Times New Roman" w:cs="Times New Roman" w:eastAsia="Times New Roman" w:hAnsi="Times New Roman"/>
          <w:sz w:val="13"/>
          <w:szCs w:val="13"/>
          <w:u w:val="single" w:color="auto"/>
          <w:color w:val="auto"/>
        </w:rPr>
        <w:t>Schedule 1</w:t>
      </w:r>
      <w:r>
        <w:rPr>
          <w:rFonts w:ascii="Times New Roman" w:cs="Times New Roman" w:eastAsia="Times New Roman" w:hAnsi="Times New Roman"/>
          <w:sz w:val="13"/>
          <w:szCs w:val="13"/>
          <w:color w:val="auto"/>
        </w:rPr>
        <w:t xml:space="preserve">. The Placement Notice shall originate from any of the individuals from the Company set forth on </w:t>
      </w:r>
      <w:r>
        <w:rPr>
          <w:rFonts w:ascii="Times New Roman" w:cs="Times New Roman" w:eastAsia="Times New Roman" w:hAnsi="Times New Roman"/>
          <w:sz w:val="13"/>
          <w:szCs w:val="13"/>
          <w:u w:val="single" w:color="auto"/>
          <w:color w:val="auto"/>
        </w:rPr>
        <w:t>Schedule 2</w:t>
      </w:r>
      <w:r>
        <w:rPr>
          <w:rFonts w:ascii="Times New Roman" w:cs="Times New Roman" w:eastAsia="Times New Roman" w:hAnsi="Times New Roman"/>
          <w:sz w:val="13"/>
          <w:szCs w:val="13"/>
          <w:color w:val="auto"/>
        </w:rPr>
        <w:t xml:space="preserve"> (with a copy to each of the other individuals from the Company listed on such schedule), and shall be addressed to each of the individuals from the relevant Agent set forth on </w:t>
      </w:r>
      <w:r>
        <w:rPr>
          <w:rFonts w:ascii="Times New Roman" w:cs="Times New Roman" w:eastAsia="Times New Roman" w:hAnsi="Times New Roman"/>
          <w:sz w:val="13"/>
          <w:szCs w:val="13"/>
          <w:u w:val="single" w:color="auto"/>
          <w:color w:val="auto"/>
        </w:rPr>
        <w:t>Schedule 2</w:t>
      </w:r>
      <w:r>
        <w:rPr>
          <w:rFonts w:ascii="Times New Roman" w:cs="Times New Roman" w:eastAsia="Times New Roman" w:hAnsi="Times New Roman"/>
          <w:sz w:val="13"/>
          <w:szCs w:val="13"/>
          <w:color w:val="auto"/>
        </w:rPr>
        <w:t xml:space="preserve">, as such </w:t>
      </w:r>
      <w:r>
        <w:rPr>
          <w:rFonts w:ascii="Times New Roman" w:cs="Times New Roman" w:eastAsia="Times New Roman" w:hAnsi="Times New Roman"/>
          <w:sz w:val="13"/>
          <w:szCs w:val="13"/>
          <w:u w:val="single" w:color="auto"/>
          <w:color w:val="auto"/>
        </w:rPr>
        <w:t>Schedule 2</w:t>
      </w:r>
      <w:r>
        <w:rPr>
          <w:rFonts w:ascii="Times New Roman" w:cs="Times New Roman" w:eastAsia="Times New Roman" w:hAnsi="Times New Roman"/>
          <w:sz w:val="13"/>
          <w:szCs w:val="13"/>
          <w:color w:val="auto"/>
        </w:rPr>
        <w:t xml:space="preserve"> may be amended from time to time. The Placement Notice shall be effective upon receipt by the relevant Agent unless and until (i) in accordance with the notice requirements set forth in Section 2(a)(iii) of this Agreement, such Agent declines to accept the terms contained therein for any reason, in its sole discretion, (ii) the entire amount of the Shares have been sold, (iii) the Company suspends or terminates the Placement Notice in accordance with the notice requirements set forth in Section 2(a)(iii) below, (iv) the Company issues a subsequent Placement Notice with parameters superseding those on the earlier dated Placement Notice, or (v) this Agreement has been terminated under the provisions of Section 7. The amount of any commission or other compensation to be paid by the Company to the relevant Agent in connection with the sale of the Shares shall be calculated in accordance with the terms set forth in Section 2(a)(v) below. It is expressly acknowledged and agreed that neither the Company nor the Agent will have any obligation whatsoever with respect to a Placement or any Shares unless and until the Company delivers a Placement Notice to the Agent and such Agent does not decline such Placement Notice pursuant to the terms set forth above, and then only upon the terms specified therein and herein. In the event of a conflict between the terms of this Agreement and the terms of the Placement Notice, the terms of the Placement Notice will control. For the purposes hereof, </w:t>
      </w:r>
      <w:r>
        <w:rPr>
          <w:rFonts w:ascii="Times New Roman" w:cs="Times New Roman" w:eastAsia="Times New Roman" w:hAnsi="Times New Roman"/>
          <w:sz w:val="13"/>
          <w:szCs w:val="13"/>
          <w:b w:val="1"/>
          <w:bCs w:val="1"/>
          <w:i w:val="1"/>
          <w:iCs w:val="1"/>
          <w:color w:val="auto"/>
        </w:rPr>
        <w:t>“Trading Day”</w:t>
      </w:r>
      <w:r>
        <w:rPr>
          <w:rFonts w:ascii="Times New Roman" w:cs="Times New Roman" w:eastAsia="Times New Roman" w:hAnsi="Times New Roman"/>
          <w:sz w:val="13"/>
          <w:szCs w:val="13"/>
          <w:color w:val="auto"/>
        </w:rPr>
        <w:t xml:space="preserve"> means any day on which the Company’s Common Shares are purchased and sold on the principal market on which the Common Shares are listed or quoted.</w:t>
      </w:r>
    </w:p>
    <w:p>
      <w:pPr>
        <w:spacing w:after="0" w:line="227" w:lineRule="exact"/>
        <w:rPr>
          <w:rFonts w:ascii="Times New Roman" w:cs="Times New Roman" w:eastAsia="Times New Roman" w:hAnsi="Times New Roman"/>
          <w:sz w:val="13"/>
          <w:szCs w:val="13"/>
          <w:color w:val="auto"/>
        </w:rPr>
      </w:pPr>
    </w:p>
    <w:p>
      <w:pPr>
        <w:jc w:val="both"/>
        <w:ind w:left="380" w:right="479" w:firstLine="1076"/>
        <w:spacing w:after="0" w:line="272" w:lineRule="auto"/>
        <w:tabs>
          <w:tab w:leader="none" w:pos="1649" w:val="left"/>
        </w:tabs>
        <w:numPr>
          <w:ilvl w:val="3"/>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are to be sold by the Agent on a daily basis or otherwise as shall be agreed to by the Company and the Agent on any day that is a trading day for the Exchange (other than a day on which the Exchange is scheduled to close prior to its regular weekday closing time). The gross sales price of the Shares sold under this Section 2(a) shall be the market price for the Company’s Common Shares sold by the Agent under this Section 2(a) at the time of such sale.</w:t>
      </w:r>
    </w:p>
    <w:p>
      <w:pPr>
        <w:spacing w:after="0" w:line="49" w:lineRule="exact"/>
        <w:rPr>
          <w:rFonts w:ascii="Times New Roman" w:cs="Times New Roman" w:eastAsia="Times New Roman" w:hAnsi="Times New Roman"/>
          <w:sz w:val="13"/>
          <w:szCs w:val="13"/>
          <w:color w:val="auto"/>
        </w:rPr>
      </w:pPr>
    </w:p>
    <w:p>
      <w:pPr>
        <w:ind w:left="380" w:right="439" w:firstLine="1076"/>
        <w:spacing w:after="0" w:line="261" w:lineRule="auto"/>
        <w:tabs>
          <w:tab w:leader="none" w:pos="1686" w:val="left"/>
        </w:tabs>
        <w:numPr>
          <w:ilvl w:val="3"/>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the foregoing, the Company may instruct the Agent by telephone (confirmed promptly by email) not to sell the Shares if such sales cannot be effected at or above the price designated by the Company in any such instruction. Furthermore, the Company shall not authorize the issuance and sale of, and the Agent shall not be obligated to use its commercially reasonable efforts to sell, any Share at a price lower than the minimum price therefor designated from time to time by the Company’s Board of Directors and notified to the Agent in writing. In addition, the Company or Agent may, upon notice to the other party hereto by telephone (confirmed promptly by email), suspend the offering of the Shares, whereupon such Agent shall so suspend the offering of Shares until further notice is provided to the other party to the contrary;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such suspension or termination shall not affect or impair the parties’ respective obligations with respect to the Shares sold hereunder prior to the giving of such notice. Notwithstanding any other provision of this Agreement, during any period in which the Company is in possession of material non-public information, the Company and the Agent agree that (i) no sale of Shares will take place, (ii) the Company shall not request the sale of any Shares, and</w:t>
      </w:r>
    </w:p>
    <w:p>
      <w:pPr>
        <w:spacing w:after="0" w:line="2" w:lineRule="exact"/>
        <w:rPr>
          <w:rFonts w:ascii="Times New Roman" w:cs="Times New Roman" w:eastAsia="Times New Roman" w:hAnsi="Times New Roman"/>
          <w:sz w:val="13"/>
          <w:szCs w:val="13"/>
          <w:color w:val="auto"/>
        </w:rPr>
      </w:pPr>
    </w:p>
    <w:p>
      <w:pPr>
        <w:ind w:left="620" w:hanging="235"/>
        <w:spacing w:after="0"/>
        <w:tabs>
          <w:tab w:leader="none" w:pos="6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Agent shall not be obligated to sell or offer to sell any Shares.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4" w:right="1440" w:bottom="1440" w:gutter="0" w:footer="0" w:header="0"/>
        </w:sectPr>
      </w:pPr>
    </w:p>
    <w:bookmarkStart w:id="71" w:name="page72"/>
    <w:bookmarkEnd w:id="71"/>
    <w:p>
      <w:pPr>
        <w:ind w:left="380" w:right="459" w:firstLine="1076"/>
        <w:spacing w:after="0" w:line="265" w:lineRule="auto"/>
        <w:tabs>
          <w:tab w:leader="none" w:pos="1679" w:val="left"/>
        </w:tabs>
        <w:numPr>
          <w:ilvl w:val="2"/>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Subject to the terms of the Placement Notice, the Agent may sell the Shares by any method permitted by law deemed to be an “at the market offering” as defined in Rule 415(a)(4) under the Securities Act, including sales made directly on or through the Exchange. Subject to the terms of any Placement Notice, the Agent may also sell Shares in negotiated transactions at market prices prevailing at the time of sale (the “</w:t>
      </w:r>
      <w:r>
        <w:rPr>
          <w:rFonts w:ascii="Times New Roman" w:cs="Times New Roman" w:eastAsia="Times New Roman" w:hAnsi="Times New Roman"/>
          <w:sz w:val="13"/>
          <w:szCs w:val="13"/>
          <w:b w:val="1"/>
          <w:bCs w:val="1"/>
          <w:i w:val="1"/>
          <w:iCs w:val="1"/>
          <w:color w:val="auto"/>
        </w:rPr>
        <w:t>Time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Sale</w:t>
      </w:r>
      <w:r>
        <w:rPr>
          <w:rFonts w:ascii="Times New Roman" w:cs="Times New Roman" w:eastAsia="Times New Roman" w:hAnsi="Times New Roman"/>
          <w:sz w:val="13"/>
          <w:szCs w:val="13"/>
          <w:color w:val="auto"/>
        </w:rPr>
        <w:t>”) or at prices related to such prevailing market prices and/or any other method permitted by law, subject to the prior written consent of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Company. During the term of this Agreement, and notwithstanding anything to the contrary herein, the Agent agrees that in no event will it or any of its affiliates engage in any market making, bidding, stabilization or other trading activity with regard to the Common Shares if such activity would be prohibited under Regulation M or other anti-manipulation rules under the Securities Act.</w:t>
      </w:r>
    </w:p>
    <w:p>
      <w:pPr>
        <w:spacing w:after="0" w:line="56" w:lineRule="exact"/>
        <w:rPr>
          <w:rFonts w:ascii="Times New Roman" w:cs="Times New Roman" w:eastAsia="Times New Roman" w:hAnsi="Times New Roman"/>
          <w:sz w:val="13"/>
          <w:szCs w:val="13"/>
          <w:color w:val="auto"/>
        </w:rPr>
      </w:pPr>
    </w:p>
    <w:p>
      <w:pPr>
        <w:ind w:left="380" w:right="559" w:firstLine="1076"/>
        <w:spacing w:after="0" w:line="272" w:lineRule="auto"/>
        <w:tabs>
          <w:tab w:leader="none" w:pos="1641" w:val="left"/>
        </w:tabs>
        <w:numPr>
          <w:ilvl w:val="2"/>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compensation to the Agent for sales of the Shares, as agent of the Company, shall be 3.0% of the gross sales price of the Shares sold by such Agent pursuant to this Section 2(a), payable in cash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The remaining proceeds, after further deduction for any transaction fees imposed by any governmental or self-regulatory organization in respect of such sales, and reimbursement of expenses that the Agent may be entitled to pursuant to Section 3(g), shall constitute the net proceeds to the Company for such Shares (the “</w:t>
      </w:r>
      <w:r>
        <w:rPr>
          <w:rFonts w:ascii="Times New Roman" w:cs="Times New Roman" w:eastAsia="Times New Roman" w:hAnsi="Times New Roman"/>
          <w:sz w:val="13"/>
          <w:szCs w:val="13"/>
          <w:b w:val="1"/>
          <w:bCs w:val="1"/>
          <w:i w:val="1"/>
          <w:iCs w:val="1"/>
          <w:color w:val="auto"/>
        </w:rPr>
        <w:t>Net Proceeds</w:t>
      </w:r>
      <w:r>
        <w:rPr>
          <w:rFonts w:ascii="Times New Roman" w:cs="Times New Roman" w:eastAsia="Times New Roman" w:hAnsi="Times New Roman"/>
          <w:sz w:val="13"/>
          <w:szCs w:val="13"/>
          <w:color w:val="auto"/>
        </w:rPr>
        <w:t>”).</w:t>
      </w:r>
    </w:p>
    <w:p>
      <w:pPr>
        <w:spacing w:after="0" w:line="49" w:lineRule="exact"/>
        <w:rPr>
          <w:rFonts w:ascii="Times New Roman" w:cs="Times New Roman" w:eastAsia="Times New Roman" w:hAnsi="Times New Roman"/>
          <w:sz w:val="13"/>
          <w:szCs w:val="13"/>
          <w:color w:val="auto"/>
        </w:rPr>
      </w:pPr>
    </w:p>
    <w:p>
      <w:pPr>
        <w:jc w:val="both"/>
        <w:ind w:left="380" w:right="539" w:firstLine="1076"/>
        <w:spacing w:after="0" w:line="272" w:lineRule="auto"/>
        <w:tabs>
          <w:tab w:leader="none" w:pos="1679" w:val="left"/>
        </w:tabs>
        <w:numPr>
          <w:ilvl w:val="2"/>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Agent will provide written confirmation to the Company (including by email correspondence to each of the individuals of the Company set forth on </w:t>
      </w:r>
      <w:r>
        <w:rPr>
          <w:rFonts w:ascii="Times New Roman" w:cs="Times New Roman" w:eastAsia="Times New Roman" w:hAnsi="Times New Roman"/>
          <w:sz w:val="13"/>
          <w:szCs w:val="13"/>
          <w:u w:val="single" w:color="auto"/>
          <w:color w:val="auto"/>
        </w:rPr>
        <w:t>Schedule 2</w:t>
      </w:r>
      <w:r>
        <w:rPr>
          <w:rFonts w:ascii="Times New Roman" w:cs="Times New Roman" w:eastAsia="Times New Roman" w:hAnsi="Times New Roman"/>
          <w:sz w:val="13"/>
          <w:szCs w:val="13"/>
          <w:color w:val="auto"/>
        </w:rPr>
        <w:t>), no later than the opening of the Trading Day immediately following the Trading Day on which it has made sales of Shares hereunder, setting forth the number of Shares sold on such day, the volume-weighted average price of the Shares sold, and the Net Proceeds payable to the Company.</w:t>
      </w:r>
    </w:p>
    <w:p>
      <w:pPr>
        <w:spacing w:after="0" w:line="49" w:lineRule="exact"/>
        <w:rPr>
          <w:rFonts w:ascii="Times New Roman" w:cs="Times New Roman" w:eastAsia="Times New Roman" w:hAnsi="Times New Roman"/>
          <w:sz w:val="13"/>
          <w:szCs w:val="13"/>
          <w:color w:val="auto"/>
        </w:rPr>
      </w:pPr>
    </w:p>
    <w:p>
      <w:pPr>
        <w:ind w:left="380" w:right="639" w:firstLine="1076"/>
        <w:spacing w:after="0" w:line="269" w:lineRule="auto"/>
        <w:tabs>
          <w:tab w:leader="none" w:pos="1716" w:val="left"/>
        </w:tabs>
        <w:numPr>
          <w:ilvl w:val="2"/>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sold pursuant to this Section 2(a) will be delivered by the Company to the relevant Agent for the account of such Agent, against payment of the Net Proceeds therefor, by wire transfer of same-day funds payable to the order of the Company at the offices of</w:t>
      </w:r>
    </w:p>
    <w:p>
      <w:pPr>
        <w:ind w:left="380" w:right="399" w:firstLine="5"/>
        <w:spacing w:after="0" w:line="261" w:lineRule="auto"/>
        <w:tabs>
          <w:tab w:leader="none" w:pos="541"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Canaccord Genuity LLC, 1 Post Office Square, 30th Floor, Boston, Massachusetts 02109, or (ii) such other location as may be mutually acceptable, by the end of the first full Trading Day following the date on which such Shares are sold, or at such other time and date as such Agent and the Company determine pursuant to Rule 15c6-1(a) under the Exchange Act, each such time and date of delivery being herein referred to as a “</w:t>
      </w:r>
      <w:r>
        <w:rPr>
          <w:rFonts w:ascii="Times New Roman" w:cs="Times New Roman" w:eastAsia="Times New Roman" w:hAnsi="Times New Roman"/>
          <w:sz w:val="13"/>
          <w:szCs w:val="13"/>
          <w:b w:val="1"/>
          <w:bCs w:val="1"/>
          <w:i w:val="1"/>
          <w:iCs w:val="1"/>
          <w:color w:val="auto"/>
        </w:rPr>
        <w:t>Settlement Date</w:t>
      </w:r>
      <w:r>
        <w:rPr>
          <w:rFonts w:ascii="Times New Roman" w:cs="Times New Roman" w:eastAsia="Times New Roman" w:hAnsi="Times New Roman"/>
          <w:sz w:val="13"/>
          <w:szCs w:val="13"/>
          <w:color w:val="auto"/>
        </w:rPr>
        <w:t>.” If the Agent so elects, delivery of the Shares may be made by credit through full fast transfer to an account or accounts at The Depository Trust Company designated by such Agent. On each Settlement Date, such Agent will deliver the Net Proceeds in same day funds to an account designated by the Company on, or prior to, such Settlement Date. The Company agrees that if the Company, or its transfer agent (if applicable), defaults in its obligation to timely deliver duly authorized Shares on a Settlement Date, the Company agrees that in addition to and in no way limiting the rights and obligations set forth in Section 5 hereto, it will (i) hold the relevant Agent harmless against any loss, claim, damage, or expense (including reasonable legal fees and expenses), as incurred, arising out of or in connection with such default by the Company, (ii) reimburse such Agent for any losses incurred by the Agent attributable, directly or indirectly, to such default and (iii) pay to such Agent any commission or other compensation to which such Agent would otherwise have been entitled absent such default.</w:t>
      </w:r>
    </w:p>
    <w:p>
      <w:pPr>
        <w:spacing w:after="0" w:line="219" w:lineRule="exact"/>
        <w:rPr>
          <w:rFonts w:ascii="Times New Roman" w:cs="Times New Roman" w:eastAsia="Times New Roman" w:hAnsi="Times New Roman"/>
          <w:sz w:val="13"/>
          <w:szCs w:val="13"/>
          <w:color w:val="auto"/>
        </w:rPr>
      </w:pPr>
    </w:p>
    <w:p>
      <w:pPr>
        <w:jc w:val="both"/>
        <w:ind w:left="380" w:right="439" w:firstLine="1076"/>
        <w:spacing w:after="0" w:line="272" w:lineRule="auto"/>
        <w:tabs>
          <w:tab w:leader="none" w:pos="1753" w:val="left"/>
        </w:tabs>
        <w:numPr>
          <w:ilvl w:val="2"/>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term of this Agreement, neither Agent nor any of its affiliates or subsidiaries shall engage in (i) any short sale of any security of the Company or (ii) any sale of any security of the Company that such Agent does not own or any sale which is consummated by the delivery of a security of the Company borrowed by, or for the account of, such Agent. Neither Agent nor any of its affiliates or subsidiaries shall engage in any proprietary trading or trading for such Agent’s (or its affiliates’ or subsidiaries’) own account.</w:t>
      </w:r>
    </w:p>
    <w:p>
      <w:pPr>
        <w:spacing w:after="0" w:line="49" w:lineRule="exact"/>
        <w:rPr>
          <w:rFonts w:ascii="Times New Roman" w:cs="Times New Roman" w:eastAsia="Times New Roman" w:hAnsi="Times New Roman"/>
          <w:sz w:val="13"/>
          <w:szCs w:val="13"/>
          <w:color w:val="auto"/>
        </w:rPr>
      </w:pPr>
    </w:p>
    <w:p>
      <w:pPr>
        <w:ind w:left="380" w:right="479" w:firstLine="1076"/>
        <w:spacing w:after="0" w:line="278" w:lineRule="auto"/>
        <w:tabs>
          <w:tab w:leader="none" w:pos="1679" w:val="left"/>
        </w:tabs>
        <w:numPr>
          <w:ilvl w:val="2"/>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term of this Agreement, and notwithstanding anything to the contrary herein, Agent agrees that in no event will it or any of its affiliates engage in any market making, bidding, stabilization or other trading activity with regard to the Common Shares if such activity would be prohibited under Regulation M or other anti-manipulation rules under the Securities Act.</w:t>
      </w:r>
    </w:p>
    <w:p>
      <w:pPr>
        <w:spacing w:after="0" w:line="43" w:lineRule="exact"/>
        <w:rPr>
          <w:rFonts w:ascii="Times New Roman" w:cs="Times New Roman" w:eastAsia="Times New Roman" w:hAnsi="Times New Roman"/>
          <w:sz w:val="13"/>
          <w:szCs w:val="13"/>
          <w:color w:val="auto"/>
        </w:rPr>
      </w:pPr>
    </w:p>
    <w:p>
      <w:pPr>
        <w:ind w:left="380" w:right="419" w:firstLine="747"/>
        <w:spacing w:after="0" w:line="268" w:lineRule="auto"/>
        <w:tabs>
          <w:tab w:leader="none" w:pos="1312"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Maximum Amount</w:t>
      </w:r>
      <w:r>
        <w:rPr>
          <w:rFonts w:ascii="Times New Roman" w:cs="Times New Roman" w:eastAsia="Times New Roman" w:hAnsi="Times New Roman"/>
          <w:sz w:val="13"/>
          <w:szCs w:val="13"/>
          <w:color w:val="auto"/>
        </w:rPr>
        <w:t>. Under no circumstances shall the aggregate number or aggregate value of the Shares sold pursuant to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Agreement exceed: (i) the aggregate number and aggregate dollar amount of Common Shares available for issuance under the currently effective Registration Statement, (ii) the aggregate dollar amount of Common Shares permitted to be sold under the Company’s effective Registration Statement (including any limit set forth in General Instruction I.B.6 thereof, if applicable) or (iii) the aggregate number or aggregate dollar amount of the Common Shares for which the Company has filed any Prospectus Supplement in connection with the Shares (the lesser of (i), (ii), and (iii) (the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Maximum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Amount</w:t>
      </w:r>
      <w:r>
        <w:rPr>
          <w:rFonts w:ascii="Times New Roman" w:cs="Times New Roman" w:eastAsia="Times New Roman" w:hAnsi="Times New Roman"/>
          <w:sz w:val="13"/>
          <w:szCs w:val="13"/>
          <w:color w:val="auto"/>
        </w:rPr>
        <w:t>”).</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8" w:right="1440" w:bottom="1440" w:gutter="0" w:footer="0" w:header="0"/>
        </w:sectPr>
      </w:pPr>
    </w:p>
    <w:bookmarkStart w:id="72" w:name="page73"/>
    <w:bookmarkEnd w:id="72"/>
    <w:p>
      <w:pPr>
        <w:ind w:left="11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(c) </w:t>
      </w:r>
      <w:r>
        <w:rPr>
          <w:rFonts w:ascii="Times New Roman" w:cs="Times New Roman" w:eastAsia="Times New Roman" w:hAnsi="Times New Roman"/>
          <w:sz w:val="13"/>
          <w:szCs w:val="13"/>
          <w:i w:val="1"/>
          <w:iCs w:val="1"/>
          <w:color w:val="auto"/>
        </w:rPr>
        <w:t>No Association or Partnership</w:t>
      </w:r>
      <w:r>
        <w:rPr>
          <w:rFonts w:ascii="Times New Roman" w:cs="Times New Roman" w:eastAsia="Times New Roman" w:hAnsi="Times New Roman"/>
          <w:sz w:val="13"/>
          <w:szCs w:val="13"/>
          <w:color w:val="auto"/>
        </w:rPr>
        <w:t>. Nothing herein contained shall constitute the Agent an unincorporated association or partner with the</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Company.</w:t>
      </w:r>
    </w:p>
    <w:p>
      <w:pPr>
        <w:spacing w:after="0" w:line="78" w:lineRule="exact"/>
        <w:rPr>
          <w:sz w:val="20"/>
          <w:szCs w:val="20"/>
          <w:color w:val="auto"/>
        </w:rPr>
      </w:pPr>
    </w:p>
    <w:p>
      <w:pPr>
        <w:ind w:left="380" w:right="699" w:firstLine="747"/>
        <w:spacing w:after="0" w:line="301" w:lineRule="auto"/>
        <w:tabs>
          <w:tab w:leader="none" w:pos="1312" w:val="left"/>
        </w:tabs>
        <w:numPr>
          <w:ilvl w:val="2"/>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Duration</w:t>
      </w:r>
      <w:r>
        <w:rPr>
          <w:rFonts w:ascii="Times New Roman" w:cs="Times New Roman" w:eastAsia="Times New Roman" w:hAnsi="Times New Roman"/>
          <w:sz w:val="13"/>
          <w:szCs w:val="13"/>
          <w:color w:val="auto"/>
        </w:rPr>
        <w:t>. Under no circumstances shall any Shares be sold pursuant to this Agreement after the date which is three years after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Registration Statement is first declared effective by the Commission.</w:t>
      </w:r>
    </w:p>
    <w:p>
      <w:pPr>
        <w:spacing w:after="0" w:line="28" w:lineRule="exact"/>
        <w:rPr>
          <w:rFonts w:ascii="Times New Roman" w:cs="Times New Roman" w:eastAsia="Times New Roman" w:hAnsi="Times New Roman"/>
          <w:sz w:val="13"/>
          <w:szCs w:val="13"/>
          <w:color w:val="auto"/>
        </w:rPr>
      </w:pPr>
    </w:p>
    <w:p>
      <w:pPr>
        <w:ind w:left="380" w:right="419" w:firstLine="747"/>
        <w:spacing w:after="0" w:line="267" w:lineRule="auto"/>
        <w:tabs>
          <w:tab w:leader="none" w:pos="1304" w:val="left"/>
        </w:tabs>
        <w:numPr>
          <w:ilvl w:val="2"/>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Market Transactions by Agent</w:t>
      </w:r>
      <w:r>
        <w:rPr>
          <w:rFonts w:ascii="Times New Roman" w:cs="Times New Roman" w:eastAsia="Times New Roman" w:hAnsi="Times New Roman"/>
          <w:sz w:val="13"/>
          <w:szCs w:val="13"/>
          <w:color w:val="auto"/>
        </w:rPr>
        <w:t>. The Company acknowledges and agrees that the Agent has informed the Company that the Agent may,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to the extent permitted under the Securities Act, the Exchange Act and this Agreement, purchase and sell Common Shares for its own account while this Agreement is in effect,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(i) no sale for its own account shall take place while a Placement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 The Company consents to the Agent trading in the Common Shares for the account of any of its clients at the same time as sales of the Shares occur pursuant to this Agreement.</w:t>
      </w:r>
    </w:p>
    <w:p>
      <w:pPr>
        <w:spacing w:after="0" w:line="50" w:lineRule="exact"/>
        <w:rPr>
          <w:rFonts w:ascii="Times New Roman" w:cs="Times New Roman" w:eastAsia="Times New Roman" w:hAnsi="Times New Roman"/>
          <w:sz w:val="13"/>
          <w:szCs w:val="13"/>
          <w:color w:val="auto"/>
        </w:rPr>
      </w:pPr>
    </w:p>
    <w:p>
      <w:pPr>
        <w:ind w:left="840" w:hanging="126"/>
        <w:spacing w:after="0"/>
        <w:tabs>
          <w:tab w:leader="none" w:pos="840"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Covenants of the Company</w:t>
      </w:r>
      <w:r>
        <w:rPr>
          <w:rFonts w:ascii="Times New Roman" w:cs="Times New Roman" w:eastAsia="Times New Roman" w:hAnsi="Times New Roman"/>
          <w:sz w:val="13"/>
          <w:szCs w:val="13"/>
          <w:color w:val="auto"/>
        </w:rPr>
        <w:t>. The Company covenants and agrees with the Agent as follows:</w:t>
      </w:r>
    </w:p>
    <w:p>
      <w:pPr>
        <w:spacing w:after="0" w:line="94" w:lineRule="exact"/>
        <w:rPr>
          <w:rFonts w:ascii="Times New Roman" w:cs="Times New Roman" w:eastAsia="Times New Roman" w:hAnsi="Times New Roman"/>
          <w:sz w:val="13"/>
          <w:szCs w:val="13"/>
          <w:color w:val="auto"/>
        </w:rPr>
      </w:pPr>
    </w:p>
    <w:p>
      <w:pPr>
        <w:ind w:left="380" w:right="419" w:firstLine="747"/>
        <w:spacing w:after="0" w:line="260" w:lineRule="auto"/>
        <w:tabs>
          <w:tab w:leader="none" w:pos="1304" w:val="left"/>
        </w:tabs>
        <w:numPr>
          <w:ilvl w:val="2"/>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Amendments to Registration Statement and Prospectus</w:t>
      </w:r>
      <w:r>
        <w:rPr>
          <w:rFonts w:ascii="Times New Roman" w:cs="Times New Roman" w:eastAsia="Times New Roman" w:hAnsi="Times New Roman"/>
          <w:sz w:val="13"/>
          <w:szCs w:val="13"/>
          <w:color w:val="auto"/>
        </w:rPr>
        <w:t>. After the date of this Agreement and during any period in which a Prospectus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relating to any Shares is required to be delivered by the Agent under the Securities Act (including in circumstances where such requirement may be satisfied pursuant to Rule 172 under the Securities Act), the Company agrees that it will: (i) notify the Agent promptly of the time when any subsequent amendment to the Registration Statement, other than documents incorporated by reference or amendments not related to the Shares, has been filed with the Commission and/or has become effective or any subsequent supplement to the Prospectus related to the Shares has been filed and of any request by the Commission for any amendment or supplement to the Registration Statement (insofar as it relates to the transactions contemplated hereby) or Prospectus or for additional information; (ii) prepare and file with the Commission, promptly upon the Agent’s request, any amendments or supplements to the Registration Statement or Prospectus that, in the Agent’s reasonable opinion, may be necessary or advisable in connection with the sale of the Shares by the Agent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the failure of the Agent to make such request shall not relieve the Company of any obligation or liability hereunder, or affect the Agent’s right to rely on the representations and warranties made by the Company in this Agreement); (iii) not file any amendment or supplement to the Registration Statement or Prospectus, other than documents incorporated by reference, relating to the Shares or a security convertible into the Shares unless a copy thereof has been submitted to the Agent within a reasonable period of time before the filing and the Agent has not reasonably objected thereto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(A) the failure of the Agent to make such objection shall not relieve the Company of any obligation or liability hereunder, or affect the Agent’s right to rely on the representations and warranties made by the Company in this Agreement),</w:t>
      </w:r>
    </w:p>
    <w:p>
      <w:pPr>
        <w:spacing w:after="0" w:line="8" w:lineRule="exact"/>
        <w:rPr>
          <w:rFonts w:ascii="Times New Roman" w:cs="Times New Roman" w:eastAsia="Times New Roman" w:hAnsi="Times New Roman"/>
          <w:sz w:val="13"/>
          <w:szCs w:val="13"/>
          <w:color w:val="auto"/>
        </w:rPr>
      </w:pPr>
    </w:p>
    <w:p>
      <w:pPr>
        <w:ind w:left="380" w:right="419" w:firstLine="5"/>
        <w:spacing w:after="0" w:line="262" w:lineRule="auto"/>
        <w:tabs>
          <w:tab w:leader="none" w:pos="593"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 obligation to provide the Agent any advance copy of such filing or to provide the Agent an opportunity to object to such filing if the filing does not name the Agent or does not relate to a Placement or other transaction contemplated hereunder, and (C) the only remedy that the Agent shall have with respect to the failure by the Company to provide the Agent with such copy or the filing of such amendment or supplement despite the Agent’s objection shall be to cease making sales under this Agreement); (iv) furnish to the Agent at the time of filing thereof a copy of any document that upon filing is deemed to be incorporated by reference into the Registration Statement or Prospectus, except for those documents available via EDGAR; and (iv) cause each amendment or supplement to the Prospectus, other than documents incorporated by reference, to be filed with the Commission as required pursuant to the applicable paragraph of Rule 424(b) of the Securities Act.</w:t>
      </w:r>
    </w:p>
    <w:p>
      <w:pPr>
        <w:spacing w:after="0" w:line="54" w:lineRule="exact"/>
        <w:rPr>
          <w:rFonts w:ascii="Times New Roman" w:cs="Times New Roman" w:eastAsia="Times New Roman" w:hAnsi="Times New Roman"/>
          <w:sz w:val="13"/>
          <w:szCs w:val="13"/>
          <w:color w:val="auto"/>
        </w:rPr>
      </w:pPr>
    </w:p>
    <w:p>
      <w:pPr>
        <w:ind w:left="380" w:right="559" w:firstLine="747"/>
        <w:spacing w:after="0" w:line="271" w:lineRule="auto"/>
        <w:tabs>
          <w:tab w:leader="none" w:pos="1312" w:val="left"/>
        </w:tabs>
        <w:numPr>
          <w:ilvl w:val="2"/>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Stop Order</w:t>
      </w:r>
      <w:r>
        <w:rPr>
          <w:rFonts w:ascii="Times New Roman" w:cs="Times New Roman" w:eastAsia="Times New Roman" w:hAnsi="Times New Roman"/>
          <w:sz w:val="13"/>
          <w:szCs w:val="13"/>
          <w:color w:val="auto"/>
        </w:rPr>
        <w:t>. The Company will advise the Agent, promptly after it receives notice or obtains knowledge thereof, of the issuance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threatened issuance by the Commission of any stop order suspending the effectiveness of the Registration Statement, of the suspension of the qualification of the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6" w:right="1440" w:bottom="1440" w:gutter="0" w:footer="0" w:header="0"/>
        </w:sectPr>
      </w:pPr>
    </w:p>
    <w:bookmarkStart w:id="73" w:name="page74"/>
    <w:bookmarkEnd w:id="73"/>
    <w:p>
      <w:pPr>
        <w:ind w:left="380" w:right="439" w:firstLine="747"/>
        <w:spacing w:after="0" w:line="263" w:lineRule="auto"/>
        <w:tabs>
          <w:tab w:leader="none" w:pos="1304"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Continuing Amendments</w:t>
      </w:r>
      <w:r>
        <w:rPr>
          <w:rFonts w:ascii="Times New Roman" w:cs="Times New Roman" w:eastAsia="Times New Roman" w:hAnsi="Times New Roman"/>
          <w:sz w:val="13"/>
          <w:szCs w:val="13"/>
          <w:color w:val="auto"/>
        </w:rPr>
        <w:t>. During any period in which a Prospectus relating to the Shares is required to be delivered by the Agent under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Securities Act with respect to any Placement or pending sale of the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Shares during such period and the Company will promptly amend or supplement the Registration Statement or Prospectus (at the expense of the Company) so as to correct such statement or omission or effect such compliance.</w:t>
      </w:r>
    </w:p>
    <w:p>
      <w:pPr>
        <w:spacing w:after="0" w:line="219" w:lineRule="exact"/>
        <w:rPr>
          <w:rFonts w:ascii="Times New Roman" w:cs="Times New Roman" w:eastAsia="Times New Roman" w:hAnsi="Times New Roman"/>
          <w:sz w:val="13"/>
          <w:szCs w:val="13"/>
          <w:color w:val="auto"/>
        </w:rPr>
      </w:pPr>
    </w:p>
    <w:p>
      <w:pPr>
        <w:ind w:left="380" w:right="459" w:firstLine="747"/>
        <w:spacing w:after="0" w:line="268" w:lineRule="auto"/>
        <w:tabs>
          <w:tab w:leader="none" w:pos="1312"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Qualification of the Shares</w:t>
      </w:r>
      <w:r>
        <w:rPr>
          <w:rFonts w:ascii="Times New Roman" w:cs="Times New Roman" w:eastAsia="Times New Roman" w:hAnsi="Times New Roman"/>
          <w:sz w:val="13"/>
          <w:szCs w:val="13"/>
          <w:color w:val="auto"/>
        </w:rPr>
        <w:t>. The Company shall take or cause to be taken all necessary action to qualify the Shares for sale under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securities laws of such jurisdictions as the Agent reasonably designates and to continue such qualifications in effect so long as required for the distribution of the Shares, except that the Company shall not be required in connection therewith to qualify as a foreign corporation or to execute a general consent to service of process in any state. The Company shall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215" w:lineRule="exact"/>
        <w:rPr>
          <w:rFonts w:ascii="Times New Roman" w:cs="Times New Roman" w:eastAsia="Times New Roman" w:hAnsi="Times New Roman"/>
          <w:sz w:val="13"/>
          <w:szCs w:val="13"/>
          <w:color w:val="auto"/>
        </w:rPr>
      </w:pPr>
    </w:p>
    <w:p>
      <w:pPr>
        <w:jc w:val="both"/>
        <w:ind w:left="380" w:right="419" w:firstLine="747"/>
        <w:spacing w:after="0" w:line="273" w:lineRule="auto"/>
        <w:tabs>
          <w:tab w:leader="none" w:pos="1304"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Copies of Registration Statement and Prospectus</w:t>
      </w:r>
      <w:r>
        <w:rPr>
          <w:rFonts w:ascii="Times New Roman" w:cs="Times New Roman" w:eastAsia="Times New Roman" w:hAnsi="Times New Roman"/>
          <w:sz w:val="13"/>
          <w:szCs w:val="13"/>
          <w:color w:val="auto"/>
        </w:rPr>
        <w:t>. The Company will furnish to the Agent and counsel for the Agent copies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Registration Statement (which will include three complete manually signed copies of the Registration Statement and all consents and exhibits filed therewith), the Prospectus and all amendments and supplements to such documents, in each case as soon as available and in such quantities as the Agent may from time to time reasonably request.</w:t>
      </w:r>
    </w:p>
    <w:p>
      <w:pPr>
        <w:spacing w:after="0" w:line="46" w:lineRule="exact"/>
        <w:rPr>
          <w:rFonts w:ascii="Times New Roman" w:cs="Times New Roman" w:eastAsia="Times New Roman" w:hAnsi="Times New Roman"/>
          <w:sz w:val="13"/>
          <w:szCs w:val="13"/>
          <w:color w:val="auto"/>
        </w:rPr>
      </w:pPr>
    </w:p>
    <w:p>
      <w:pPr>
        <w:ind w:left="380" w:right="559" w:firstLine="747"/>
        <w:spacing w:after="0" w:line="280" w:lineRule="auto"/>
        <w:tabs>
          <w:tab w:leader="none" w:pos="1289"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Section 11(a)</w:t>
      </w:r>
      <w:r>
        <w:rPr>
          <w:rFonts w:ascii="Times New Roman" w:cs="Times New Roman" w:eastAsia="Times New Roman" w:hAnsi="Times New Roman"/>
          <w:sz w:val="13"/>
          <w:szCs w:val="13"/>
          <w:color w:val="auto"/>
        </w:rPr>
        <w:t>. The Company will make generally available to its security holders as soon as practicable an earnings statement (which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need not be audited) covering a 12-month period that shall satisfy the provisions of Section 11(a) of the Securities Act and Rule 158 promulgated thereunder.</w:t>
      </w:r>
    </w:p>
    <w:p>
      <w:pPr>
        <w:spacing w:after="0" w:line="42" w:lineRule="exact"/>
        <w:rPr>
          <w:rFonts w:ascii="Times New Roman" w:cs="Times New Roman" w:eastAsia="Times New Roman" w:hAnsi="Times New Roman"/>
          <w:sz w:val="13"/>
          <w:szCs w:val="13"/>
          <w:color w:val="auto"/>
        </w:rPr>
      </w:pPr>
    </w:p>
    <w:p>
      <w:pPr>
        <w:ind w:left="380" w:right="419" w:firstLine="747"/>
        <w:spacing w:after="0" w:line="262" w:lineRule="auto"/>
        <w:tabs>
          <w:tab w:leader="none" w:pos="1312"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Expenses</w:t>
      </w:r>
      <w:r>
        <w:rPr>
          <w:rFonts w:ascii="Times New Roman" w:cs="Times New Roman" w:eastAsia="Times New Roman" w:hAnsi="Times New Roman"/>
          <w:sz w:val="13"/>
          <w:szCs w:val="13"/>
          <w:color w:val="auto"/>
        </w:rPr>
        <w:t>. The Company, whether or not the transactions contemplated hereunder are consummated or this Agreement is terminated,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will pay or cause to be paid (i) all expenses (including stock or transfer taxes and stamp or similar duties allocated to the respective transferees) incurred in connection with the registration, issue, sale and delivery of the Shares, (ii) all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Shares, the Prospectus and any amendment thereof or supplement thereto, and the producing, word-processing, printing, delivery, and shipping of this Agreement and other underwriting documents or closing documents, including Blue Sky Memoranda (covering the states and other applicable jurisdictions) and including the cost to furnish copies of each thereof to the Agent, (iii) all filing fees, (iv) all fees and disbursements of the Agent’s counsel incurred in connection with the qualification of the Shares for offering and sale by the Agent or by dealers under the securities or blue sky laws of the states and other jurisdictions which Agent shall designate, (v) the fees and expenses of any transfer agent or registrar, (vi) the filing fees and fees and disbursements of Agent’s counsel incident to any required review and approval by FINRA of the terms of the sale of the Shares, (vii) listing fees, if any, (viii) the cost and expenses of the Company relating to investor presentations or any “roadshow” undertaken in connection with marketing of the Shares, and (ix) all other costs and expenses incident to the performance of its obligations hereunder that are not otherwise specifically provided for herein. The Company agrees to reimburse the reasonable fees and disbursements of Agent’s counsel (A) in an aggregate amount not exceeding $75,000 upon execution of this Agreement and (B) in an aggregate amount not exceeding $10,000 incurred on a quarterly basis after the date of this Agreement (solely for any quarter that includes a Representation Date for which no Waiver is applicable) for the purposes of maintaining the Company’s ability to sell Shares pursuant to this Agreement.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6" w:right="1440" w:bottom="1440" w:gutter="0" w:footer="0" w:header="0"/>
        </w:sectPr>
      </w:pPr>
    </w:p>
    <w:bookmarkStart w:id="74" w:name="page75"/>
    <w:bookmarkEnd w:id="74"/>
    <w:p>
      <w:pPr>
        <w:ind w:left="1320" w:hanging="193"/>
        <w:spacing w:after="0"/>
        <w:tabs>
          <w:tab w:leader="none" w:pos="132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Use of Proceeds</w:t>
      </w:r>
      <w:r>
        <w:rPr>
          <w:rFonts w:ascii="Times New Roman" w:cs="Times New Roman" w:eastAsia="Times New Roman" w:hAnsi="Times New Roman"/>
          <w:sz w:val="13"/>
          <w:szCs w:val="13"/>
          <w:color w:val="auto"/>
        </w:rPr>
        <w:t>. The Company will apply the net proceeds from the sale of the Shares in the manner set forth in the Prospectus.</w:t>
      </w:r>
    </w:p>
    <w:p>
      <w:pPr>
        <w:spacing w:after="0" w:line="92" w:lineRule="exact"/>
        <w:rPr>
          <w:rFonts w:ascii="Times New Roman" w:cs="Times New Roman" w:eastAsia="Times New Roman" w:hAnsi="Times New Roman"/>
          <w:sz w:val="13"/>
          <w:szCs w:val="13"/>
          <w:color w:val="auto"/>
        </w:rPr>
      </w:pPr>
    </w:p>
    <w:p>
      <w:pPr>
        <w:ind w:left="380" w:right="399" w:firstLine="747"/>
        <w:spacing w:after="0" w:line="261" w:lineRule="auto"/>
        <w:tabs>
          <w:tab w:leader="none" w:pos="1282"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Restrictions on Future Sales</w:t>
      </w:r>
      <w:r>
        <w:rPr>
          <w:rFonts w:ascii="Times New Roman" w:cs="Times New Roman" w:eastAsia="Times New Roman" w:hAnsi="Times New Roman"/>
          <w:sz w:val="13"/>
          <w:szCs w:val="13"/>
          <w:color w:val="auto"/>
        </w:rPr>
        <w:t>. During the term of this Agreement, without giving the Agent at least two business days’ prior email notice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(or other method mutually agreed to in writing by the parties) specifying the nature of the proposed sale or disposition so as to permit the Agent to suspend activity under this Agreement for such period of time as requested by the Company the Company will not (i) directly or indirectly,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during the period beginning on the fifth (5th) Trading Day immediately prior to the date on which any Placement Notice is delivered to the Agent hereunder and ending on the fifth (5th) Trading Day immediately following the final Settlement Date with respect to Shares sold pursuant to such Placement Notice (or, if the Placement Notice has been terminated or suspended prior to the sale of all Shares covered by a Placement Notice, the date of such suspension or termination); or (ii) directly or indirectly in any other “at-the-market”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later of the termination of this Agreement and the sixtieth (60th) day immediately following the final Settlement Date with respect to Shares sold pursuant to such Placement Notice;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such restrictions will not be required in connection with the Company’s issuance or sale (either directly or indirectly) of (i) Common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Shares, options to purchase Common Shares or Common Shares issuable upon the exercise of options, pursuant to any employee or director stock option or benefits plan, stock ownership plan or dividend reinvestment plan (but not Common Shares subject to a waiver to exceed plan limits in its dividend reinvestment plan) of the Company whether now in effect or hereafter implemented, (ii) Common Shares issuable upon conversion of securities or the exercise of warrants, options or other rights in effect or outstanding, and disclosed in filings by the Company available on EDGAR or otherwise in writing to the Agent; (iii) Common Shares or securities convertible into or exchangeable for Common Shares as consideration for mergers, acquisitions, other business combinations or strategic alliances, or offered and sold in a privately negotiated transaction to vendors, customers, lenders, investors, strategic partners or potential strategic partners, occurring after the date of this Agreement which are not issued primarily for capital raising purposes; and (iv) the Shares offered pursuant to this Agreement.</w:t>
      </w:r>
    </w:p>
    <w:p>
      <w:pPr>
        <w:spacing w:after="0" w:line="221" w:lineRule="exact"/>
        <w:rPr>
          <w:rFonts w:ascii="Times New Roman" w:cs="Times New Roman" w:eastAsia="Times New Roman" w:hAnsi="Times New Roman"/>
          <w:sz w:val="13"/>
          <w:szCs w:val="13"/>
          <w:color w:val="auto"/>
        </w:rPr>
      </w:pPr>
    </w:p>
    <w:p>
      <w:pPr>
        <w:ind w:left="380" w:right="459" w:firstLine="747"/>
        <w:spacing w:after="0" w:line="265" w:lineRule="auto"/>
        <w:tabs>
          <w:tab w:leader="none" w:pos="1282"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Stabilization or Manipulation</w:t>
      </w:r>
      <w:r>
        <w:rPr>
          <w:rFonts w:ascii="Times New Roman" w:cs="Times New Roman" w:eastAsia="Times New Roman" w:hAnsi="Times New Roman"/>
          <w:sz w:val="13"/>
          <w:szCs w:val="13"/>
          <w:color w:val="auto"/>
        </w:rPr>
        <w:t>. The Company has not taken and will not take, directly or indirectly, any action designed to, or which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might reasonably be expected to cause or result in, or which constitutes: (i) the stabilization or manipulation of the price of the Common Shares or any other security of the Company to facilitate the sale or resale of the Shares, (ii) a violation of Regulation M. The Company shall notify the Agent of any violation of Regulation M by the Company or any of its Subsidiaries or any of their respective officers or directors promptly after the Company has received notice or obtained knowledge of any such violation. The Company shall not invest in futures contracts, options on futures contracts or options on commodities, unless the Company is exempt from the registration requirements of the Commodity Exchange Act, as amended (the </w:t>
      </w:r>
      <w:r>
        <w:rPr>
          <w:rFonts w:ascii="Times New Roman" w:cs="Times New Roman" w:eastAsia="Times New Roman" w:hAnsi="Times New Roman"/>
          <w:sz w:val="13"/>
          <w:szCs w:val="13"/>
          <w:b w:val="1"/>
          <w:bCs w:val="1"/>
          <w:i w:val="1"/>
          <w:iCs w:val="1"/>
          <w:color w:val="auto"/>
        </w:rPr>
        <w:t>“Commodity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Act”</w:t>
      </w:r>
      <w:r>
        <w:rPr>
          <w:rFonts w:ascii="Times New Roman" w:cs="Times New Roman" w:eastAsia="Times New Roman" w:hAnsi="Times New Roman"/>
          <w:sz w:val="13"/>
          <w:szCs w:val="13"/>
          <w:color w:val="auto"/>
        </w:rPr>
        <w:t>), or otherwise complies with the Commodity Act. The Company will not engage in any activities bearing on the Commodity Act, unless such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activities are exempt from the Commodity Act or otherwise comply with the Commodity Act.</w:t>
      </w:r>
    </w:p>
    <w:p>
      <w:pPr>
        <w:spacing w:after="0" w:line="52" w:lineRule="exact"/>
        <w:rPr>
          <w:rFonts w:ascii="Times New Roman" w:cs="Times New Roman" w:eastAsia="Times New Roman" w:hAnsi="Times New Roman"/>
          <w:sz w:val="13"/>
          <w:szCs w:val="13"/>
          <w:color w:val="auto"/>
        </w:rPr>
      </w:pPr>
    </w:p>
    <w:p>
      <w:pPr>
        <w:ind w:left="380" w:right="559" w:firstLine="747"/>
        <w:spacing w:after="0" w:line="301" w:lineRule="auto"/>
        <w:tabs>
          <w:tab w:leader="none" w:pos="1312"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Other Broker</w:t>
      </w:r>
      <w:r>
        <w:rPr>
          <w:rFonts w:ascii="Times New Roman" w:cs="Times New Roman" w:eastAsia="Times New Roman" w:hAnsi="Times New Roman"/>
          <w:sz w:val="13"/>
          <w:szCs w:val="13"/>
          <w:color w:val="auto"/>
        </w:rPr>
        <w:t>. The Company will not incur any liability for any finder’s or broker’s fee or agent’s commission in connection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execution and delivery of this Agreement, or the consummation of the transactions contemplated hereby.</w:t>
      </w:r>
    </w:p>
    <w:p>
      <w:pPr>
        <w:spacing w:after="0" w:line="28" w:lineRule="exact"/>
        <w:rPr>
          <w:rFonts w:ascii="Times New Roman" w:cs="Times New Roman" w:eastAsia="Times New Roman" w:hAnsi="Times New Roman"/>
          <w:sz w:val="13"/>
          <w:szCs w:val="13"/>
          <w:color w:val="auto"/>
        </w:rPr>
      </w:pPr>
    </w:p>
    <w:p>
      <w:pPr>
        <w:ind w:left="380" w:right="619" w:firstLine="747"/>
        <w:spacing w:after="0" w:line="294" w:lineRule="auto"/>
        <w:tabs>
          <w:tab w:leader="none" w:pos="1282"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Timely Securities Act and Exchange Act Reports</w:t>
      </w:r>
      <w:r>
        <w:rPr>
          <w:rFonts w:ascii="Times New Roman" w:cs="Times New Roman" w:eastAsia="Times New Roman" w:hAnsi="Times New Roman"/>
          <w:sz w:val="13"/>
          <w:szCs w:val="13"/>
          <w:color w:val="auto"/>
        </w:rPr>
        <w:t>. During any prospectus delivery period, the Company will use its commercially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reasonable efforts to file on a timely basis with the Commission such periodic and special reports as required by the Securities Act and the Exchange Act.</w:t>
      </w:r>
    </w:p>
    <w:p>
      <w:pPr>
        <w:spacing w:after="0" w:line="199" w:lineRule="exact"/>
        <w:rPr>
          <w:rFonts w:ascii="Times New Roman" w:cs="Times New Roman" w:eastAsia="Times New Roman" w:hAnsi="Times New Roman"/>
          <w:sz w:val="13"/>
          <w:szCs w:val="13"/>
          <w:color w:val="auto"/>
        </w:rPr>
      </w:pPr>
    </w:p>
    <w:p>
      <w:pPr>
        <w:ind w:left="380" w:right="539" w:firstLine="747"/>
        <w:spacing w:after="0" w:line="269" w:lineRule="auto"/>
        <w:tabs>
          <w:tab w:leader="none" w:pos="134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Internal Controls</w:t>
      </w:r>
      <w:r>
        <w:rPr>
          <w:rFonts w:ascii="Times New Roman" w:cs="Times New Roman" w:eastAsia="Times New Roman" w:hAnsi="Times New Roman"/>
          <w:sz w:val="13"/>
          <w:szCs w:val="13"/>
          <w:color w:val="auto"/>
        </w:rPr>
        <w:t>. The Company and its Subsidiaries will maintain such controls and other procedures, including without limitation,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6" w:right="1440" w:bottom="1440" w:gutter="0" w:footer="0" w:header="0"/>
        </w:sectPr>
      </w:pPr>
    </w:p>
    <w:bookmarkStart w:id="75" w:name="page76"/>
    <w:bookmarkEnd w:id="75"/>
    <w:p>
      <w:pPr>
        <w:ind w:left="380" w:right="459"/>
        <w:spacing w:after="0" w:line="27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including its Subsidiaries, is made known to them by others within those entities.</w:t>
      </w:r>
    </w:p>
    <w:p>
      <w:pPr>
        <w:spacing w:after="0" w:line="44" w:lineRule="exact"/>
        <w:rPr>
          <w:sz w:val="20"/>
          <w:szCs w:val="20"/>
          <w:color w:val="auto"/>
        </w:rPr>
      </w:pPr>
    </w:p>
    <w:p>
      <w:pPr>
        <w:ind w:left="380" w:right="479" w:firstLine="747"/>
        <w:spacing w:after="0" w:line="265" w:lineRule="auto"/>
        <w:tabs>
          <w:tab w:leader="none" w:pos="1312"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Permitted Free Writing Prospectus</w:t>
      </w:r>
      <w:r>
        <w:rPr>
          <w:rFonts w:ascii="Times New Roman" w:cs="Times New Roman" w:eastAsia="Times New Roman" w:hAnsi="Times New Roman"/>
          <w:sz w:val="13"/>
          <w:szCs w:val="13"/>
          <w:color w:val="auto"/>
        </w:rPr>
        <w:t>. The Company represents and agrees that, unless it obtains the prior written consent of the Agent,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and the Agent represents and agrees that, unless it obtains the prior written consent of the Company, Agent has not made and will not make any offer relating to the Shares that would constitute an “issuer free writing prospectus,” as defined in Rule 433 under the Securities Act, or that would otherwise constitute a “free writing prospectus,” as defined in Rule 405 under the Securities Act, required to be filed with the Commission. Any such free writing prospectus consented to by the Company and the Agent is hereinafter referred to as a </w:t>
      </w:r>
      <w:r>
        <w:rPr>
          <w:rFonts w:ascii="Times New Roman" w:cs="Times New Roman" w:eastAsia="Times New Roman" w:hAnsi="Times New Roman"/>
          <w:sz w:val="13"/>
          <w:szCs w:val="13"/>
          <w:b w:val="1"/>
          <w:bCs w:val="1"/>
          <w:i w:val="1"/>
          <w:iCs w:val="1"/>
          <w:color w:val="auto"/>
        </w:rPr>
        <w:t>“Permitted Free Writing Prospectus.”</w:t>
      </w:r>
      <w:r>
        <w:rPr>
          <w:rFonts w:ascii="Times New Roman" w:cs="Times New Roman" w:eastAsia="Times New Roman" w:hAnsi="Times New Roman"/>
          <w:sz w:val="13"/>
          <w:szCs w:val="13"/>
          <w:color w:val="auto"/>
        </w:rPr>
        <w:t xml:space="preserve">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52" w:lineRule="exact"/>
        <w:rPr>
          <w:rFonts w:ascii="Times New Roman" w:cs="Times New Roman" w:eastAsia="Times New Roman" w:hAnsi="Times New Roman"/>
          <w:sz w:val="13"/>
          <w:szCs w:val="13"/>
          <w:color w:val="auto"/>
        </w:rPr>
      </w:pPr>
    </w:p>
    <w:p>
      <w:pPr>
        <w:ind w:left="380" w:right="599" w:firstLine="747"/>
        <w:spacing w:after="0" w:line="266" w:lineRule="auto"/>
        <w:tabs>
          <w:tab w:leader="none" w:pos="1312"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Representation Date and Opinion of Counsel</w:t>
      </w:r>
      <w:r>
        <w:rPr>
          <w:rFonts w:ascii="Times New Roman" w:cs="Times New Roman" w:eastAsia="Times New Roman" w:hAnsi="Times New Roman"/>
          <w:sz w:val="13"/>
          <w:szCs w:val="13"/>
          <w:color w:val="auto"/>
        </w:rPr>
        <w:t>. Prior to the date of the first Placement Notice, and thereafter during the term of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 on each date to which a Waiver (as defined below) does not apply the Company (A) files an amendment to the Registration Statement or Prospectus (other than relating solely to the offering of securities other than the Shares), (B) files an annual report on Form 10-K under the Exchange Act or files its quarterly reports on Form 10-Q under the Exchange Act; and (C) files a current report on Form 8-K containing amended financial statements (other than an earnings release) under the Exchange Act, (each of the dates in (A), (B) and (C) are referred to herein as a “</w:t>
      </w:r>
      <w:r>
        <w:rPr>
          <w:rFonts w:ascii="Times New Roman" w:cs="Times New Roman" w:eastAsia="Times New Roman" w:hAnsi="Times New Roman"/>
          <w:sz w:val="13"/>
          <w:szCs w:val="13"/>
          <w:b w:val="1"/>
          <w:bCs w:val="1"/>
          <w:i w:val="1"/>
          <w:iCs w:val="1"/>
          <w:color w:val="auto"/>
        </w:rPr>
        <w:t>Representation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Date</w:t>
      </w:r>
      <w:r>
        <w:rPr>
          <w:rFonts w:ascii="Times New Roman" w:cs="Times New Roman" w:eastAsia="Times New Roman" w:hAnsi="Times New Roman"/>
          <w:sz w:val="13"/>
          <w:szCs w:val="13"/>
          <w:color w:val="auto"/>
        </w:rPr>
        <w:t>”), the Company shall cause Sullivan &amp; Worcester LLP, counsel for the Company, to furnish to the Agent the opinion and negative assurance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statement of such counsel, dated as of such date and addressed to Agent, in form and substance reasonably satisfactory to the Agent.</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Each of (i) the requirement to provide counsel opinions under this Section 3(o), (ii) the requirement to provide comfort letters under Section 3(p) and</w:t>
      </w:r>
    </w:p>
    <w:p>
      <w:pPr>
        <w:spacing w:after="0" w:line="24" w:lineRule="exact"/>
        <w:rPr>
          <w:sz w:val="20"/>
          <w:szCs w:val="20"/>
          <w:color w:val="auto"/>
        </w:rPr>
      </w:pPr>
    </w:p>
    <w:p>
      <w:pPr>
        <w:ind w:left="380" w:right="519" w:firstLine="5"/>
        <w:spacing w:after="0" w:line="259" w:lineRule="auto"/>
        <w:tabs>
          <w:tab w:leader="none" w:pos="615"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requirement to provide Representation Certificates under Section 3(q) shall be waived (a “</w:t>
      </w:r>
      <w:r>
        <w:rPr>
          <w:rFonts w:ascii="Times New Roman" w:cs="Times New Roman" w:eastAsia="Times New Roman" w:hAnsi="Times New Roman"/>
          <w:sz w:val="13"/>
          <w:szCs w:val="13"/>
          <w:b w:val="1"/>
          <w:bCs w:val="1"/>
          <w:i w:val="1"/>
          <w:iCs w:val="1"/>
          <w:color w:val="auto"/>
        </w:rPr>
        <w:t>Waiver</w:t>
      </w:r>
      <w:r>
        <w:rPr>
          <w:rFonts w:ascii="Times New Roman" w:cs="Times New Roman" w:eastAsia="Times New Roman" w:hAnsi="Times New Roman"/>
          <w:sz w:val="13"/>
          <w:szCs w:val="13"/>
          <w:color w:val="auto"/>
        </w:rPr>
        <w:t>”) for any Representation Date occurring at a time at which no Placement Notice is pending, which Waiver shall continue until the date the Company delivers a Placement Notice to the</w:t>
      </w:r>
    </w:p>
    <w:p>
      <w:pPr>
        <w:ind w:left="380" w:right="459"/>
        <w:spacing w:after="0" w:line="26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Agent. Notwithstanding the foregoing, if the Company subsequently delivers a Placement Notice following a Representation Date for which a Waiver was in effect, then before the Agent sells any Shares pursuant to Section 2(a), the Company shall cause the opinions, comfort letters and certificates that would be delivered on such Representation Date to be delivered.</w:t>
      </w:r>
    </w:p>
    <w:p>
      <w:pPr>
        <w:spacing w:after="0" w:line="50" w:lineRule="exact"/>
        <w:rPr>
          <w:rFonts w:ascii="Times New Roman" w:cs="Times New Roman" w:eastAsia="Times New Roman" w:hAnsi="Times New Roman"/>
          <w:sz w:val="13"/>
          <w:szCs w:val="13"/>
          <w:color w:val="auto"/>
        </w:rPr>
      </w:pPr>
    </w:p>
    <w:p>
      <w:pPr>
        <w:ind w:left="380" w:right="419" w:firstLine="747"/>
        <w:spacing w:after="0" w:line="266" w:lineRule="auto"/>
        <w:tabs>
          <w:tab w:leader="none" w:pos="1312"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Representation Date and Comfort Letters</w:t>
      </w:r>
      <w:r>
        <w:rPr>
          <w:rFonts w:ascii="Times New Roman" w:cs="Times New Roman" w:eastAsia="Times New Roman" w:hAnsi="Times New Roman"/>
          <w:sz w:val="13"/>
          <w:szCs w:val="13"/>
          <w:color w:val="auto"/>
        </w:rPr>
        <w:t>. Prior to the date of the first Placement Notice and thereafter during the term of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 on each Representation Date to which a Waiver does not apply, the Company shall cause each of (x) BDO and (y) CBIZ (or, in each case, any other independent accountants satisfactory to the Agent), to deliver to the Agent a letter, dated as of such date and addressed to Agent, confirming that they are independent public accountants within the meaning of the Securities Act and are in compliance with the applicable requirements relating to the qualifications of accountants under Rule 2-01 of Regulation S-X of the Commission, and stating the conclusions and findings of said firm with respect to the financial information and other matters covered by its letter (in each case, only with respect to the periods and financial information applicable to each such firm) in form and substance satisfactory to the Agent of the same tenor as the first such letter received hereunder from such firm.</w:t>
      </w:r>
    </w:p>
    <w:p>
      <w:pPr>
        <w:spacing w:after="0" w:line="51" w:lineRule="exact"/>
        <w:rPr>
          <w:rFonts w:ascii="Times New Roman" w:cs="Times New Roman" w:eastAsia="Times New Roman" w:hAnsi="Times New Roman"/>
          <w:sz w:val="13"/>
          <w:szCs w:val="13"/>
          <w:color w:val="auto"/>
        </w:rPr>
      </w:pPr>
    </w:p>
    <w:p>
      <w:pPr>
        <w:ind w:left="380" w:right="619" w:firstLine="747"/>
        <w:spacing w:after="0" w:line="273" w:lineRule="auto"/>
        <w:tabs>
          <w:tab w:leader="none" w:pos="1312"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Representation Date and Representation Certificate</w:t>
      </w:r>
      <w:r>
        <w:rPr>
          <w:rFonts w:ascii="Times New Roman" w:cs="Times New Roman" w:eastAsia="Times New Roman" w:hAnsi="Times New Roman"/>
          <w:sz w:val="13"/>
          <w:szCs w:val="13"/>
          <w:color w:val="auto"/>
        </w:rPr>
        <w:t>. Prior to the date of the first Placement Notice and thereafter during the term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this Agreement, on each Representation Date to which a Waiver does not apply, the Company shall furnish to the Agent a certificate (the </w:t>
      </w:r>
      <w:r>
        <w:rPr>
          <w:rFonts w:ascii="Times New Roman" w:cs="Times New Roman" w:eastAsia="Times New Roman" w:hAnsi="Times New Roman"/>
          <w:sz w:val="13"/>
          <w:szCs w:val="13"/>
          <w:b w:val="1"/>
          <w:bCs w:val="1"/>
          <w:i w:val="1"/>
          <w:iCs w:val="1"/>
          <w:color w:val="auto"/>
        </w:rPr>
        <w:t>“Representation Certificate”</w:t>
      </w:r>
      <w:r>
        <w:rPr>
          <w:rFonts w:ascii="Times New Roman" w:cs="Times New Roman" w:eastAsia="Times New Roman" w:hAnsi="Times New Roman"/>
          <w:sz w:val="13"/>
          <w:szCs w:val="13"/>
          <w:color w:val="auto"/>
        </w:rPr>
        <w:t>), substantially in the form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u w:val="single" w:color="auto"/>
          <w:color w:val="auto"/>
        </w:rPr>
        <w:t>Schedule 3</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dated as of such date, addressed to the Agent and signed by the chief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executive officer and by the chief financial or chief accounting officer of the Company.</w:t>
      </w:r>
    </w:p>
    <w:p>
      <w:pPr>
        <w:spacing w:after="0" w:line="46" w:lineRule="exact"/>
        <w:rPr>
          <w:rFonts w:ascii="Times New Roman" w:cs="Times New Roman" w:eastAsia="Times New Roman" w:hAnsi="Times New Roman"/>
          <w:sz w:val="13"/>
          <w:szCs w:val="13"/>
          <w:color w:val="auto"/>
        </w:rPr>
      </w:pPr>
    </w:p>
    <w:p>
      <w:pPr>
        <w:ind w:left="380" w:right="439" w:firstLine="747"/>
        <w:spacing w:after="0" w:line="280" w:lineRule="auto"/>
        <w:tabs>
          <w:tab w:leader="none" w:pos="1289"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Disclosure of Shares Sold</w:t>
      </w:r>
      <w:r>
        <w:rPr>
          <w:rFonts w:ascii="Times New Roman" w:cs="Times New Roman" w:eastAsia="Times New Roman" w:hAnsi="Times New Roman"/>
          <w:sz w:val="13"/>
          <w:szCs w:val="13"/>
          <w:color w:val="auto"/>
        </w:rPr>
        <w:t>. The Company shall disclose in its quarterly reports on Form 10-Q and in its annual report on Form 10-K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number of the Shares sold through the Agent under this Agreement, the net proceeds to the Company and the compensation paid by the Company with respect to sales of the Shares pursuant to this Agreement during the relevant quarter.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8" w:right="1440" w:bottom="1440" w:gutter="0" w:footer="0" w:header="0"/>
        </w:sectPr>
      </w:pPr>
    </w:p>
    <w:bookmarkStart w:id="76" w:name="page77"/>
    <w:bookmarkEnd w:id="76"/>
    <w:p>
      <w:pPr>
        <w:ind w:left="380" w:right="479" w:firstLine="747"/>
        <w:spacing w:after="0" w:line="301" w:lineRule="auto"/>
        <w:tabs>
          <w:tab w:leader="none" w:pos="1297"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Continued Listing of Shares</w:t>
      </w:r>
      <w:r>
        <w:rPr>
          <w:rFonts w:ascii="Times New Roman" w:cs="Times New Roman" w:eastAsia="Times New Roman" w:hAnsi="Times New Roman"/>
          <w:sz w:val="13"/>
          <w:szCs w:val="13"/>
          <w:color w:val="auto"/>
        </w:rPr>
        <w:t>. The Company shall use its commercially reasonable efforts to maintain the listing of the Common Shares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on the Exchange.</w:t>
      </w:r>
    </w:p>
    <w:p>
      <w:pPr>
        <w:spacing w:after="0" w:line="28" w:lineRule="exact"/>
        <w:rPr>
          <w:rFonts w:ascii="Times New Roman" w:cs="Times New Roman" w:eastAsia="Times New Roman" w:hAnsi="Times New Roman"/>
          <w:sz w:val="13"/>
          <w:szCs w:val="13"/>
          <w:color w:val="auto"/>
        </w:rPr>
      </w:pPr>
    </w:p>
    <w:p>
      <w:pPr>
        <w:ind w:left="380" w:right="579" w:firstLine="747"/>
        <w:spacing w:after="0" w:line="280" w:lineRule="auto"/>
        <w:tabs>
          <w:tab w:leader="none" w:pos="1282"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Notice of Changes</w:t>
      </w:r>
      <w:r>
        <w:rPr>
          <w:rFonts w:ascii="Times New Roman" w:cs="Times New Roman" w:eastAsia="Times New Roman" w:hAnsi="Times New Roman"/>
          <w:sz w:val="13"/>
          <w:szCs w:val="13"/>
          <w:color w:val="auto"/>
        </w:rPr>
        <w:t>. At any time during the term of this Agreement, as supplemented from time to time, the Company shall advise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Agent immediately after it shall have received notice or obtain knowledge thereof, of any information or fact that would alter or affect any opinion, certificate, letter and other document provided to the Agent pursuant to this Section 3.</w:t>
      </w:r>
    </w:p>
    <w:p>
      <w:pPr>
        <w:spacing w:after="0" w:line="42" w:lineRule="exact"/>
        <w:rPr>
          <w:rFonts w:ascii="Times New Roman" w:cs="Times New Roman" w:eastAsia="Times New Roman" w:hAnsi="Times New Roman"/>
          <w:sz w:val="13"/>
          <w:szCs w:val="13"/>
          <w:color w:val="auto"/>
        </w:rPr>
      </w:pPr>
    </w:p>
    <w:p>
      <w:pPr>
        <w:ind w:left="1320" w:hanging="193"/>
        <w:spacing w:after="0"/>
        <w:tabs>
          <w:tab w:leader="none" w:pos="132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Maximum Amount</w:t>
      </w:r>
      <w:r>
        <w:rPr>
          <w:rFonts w:ascii="Times New Roman" w:cs="Times New Roman" w:eastAsia="Times New Roman" w:hAnsi="Times New Roman"/>
          <w:sz w:val="13"/>
          <w:szCs w:val="13"/>
          <w:color w:val="auto"/>
        </w:rPr>
        <w:t>. The Company will not instruct the Agent to sell or otherwise attempt to sell Shares in excess of the Maximum</w:t>
      </w:r>
    </w:p>
    <w:p>
      <w:pPr>
        <w:spacing w:after="0" w:line="26" w:lineRule="exact"/>
        <w:rPr>
          <w:rFonts w:ascii="Times New Roman" w:cs="Times New Roman" w:eastAsia="Times New Roman" w:hAnsi="Times New Roman"/>
          <w:sz w:val="13"/>
          <w:szCs w:val="13"/>
          <w:color w:val="auto"/>
        </w:rPr>
      </w:pPr>
    </w:p>
    <w:p>
      <w:pPr>
        <w:ind w:left="3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w:t>
      </w:r>
    </w:p>
    <w:p>
      <w:pPr>
        <w:spacing w:after="0" w:line="76" w:lineRule="exact"/>
        <w:rPr>
          <w:rFonts w:ascii="Times New Roman" w:cs="Times New Roman" w:eastAsia="Times New Roman" w:hAnsi="Times New Roman"/>
          <w:sz w:val="13"/>
          <w:szCs w:val="13"/>
          <w:color w:val="auto"/>
        </w:rPr>
      </w:pPr>
    </w:p>
    <w:p>
      <w:pPr>
        <w:ind w:left="380" w:right="419" w:firstLine="334"/>
        <w:spacing w:after="0" w:line="282" w:lineRule="auto"/>
        <w:tabs>
          <w:tab w:leader="none" w:pos="84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Conditions of Agent’s Obligations</w:t>
      </w:r>
      <w:r>
        <w:rPr>
          <w:rFonts w:ascii="Times New Roman" w:cs="Times New Roman" w:eastAsia="Times New Roman" w:hAnsi="Times New Roman"/>
          <w:sz w:val="13"/>
          <w:szCs w:val="13"/>
          <w:color w:val="auto"/>
        </w:rPr>
        <w:t>. The obligations of the Agent hereunder are subject to (i) the accuracy, as of the Effective Time, each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Representation Date and each Time of Sale (in each case, as if made at such date) of and compliance with all representations, warranties and agreements of the Company contained herein, (ii) the performance by the Company of its obligations hereunder and (iii) the following additional conditions:</w:t>
      </w:r>
    </w:p>
    <w:p>
      <w:pPr>
        <w:spacing w:after="0" w:line="40" w:lineRule="exact"/>
        <w:rPr>
          <w:rFonts w:ascii="Times New Roman" w:cs="Times New Roman" w:eastAsia="Times New Roman" w:hAnsi="Times New Roman"/>
          <w:sz w:val="13"/>
          <w:szCs w:val="13"/>
          <w:color w:val="auto"/>
        </w:rPr>
      </w:pPr>
    </w:p>
    <w:p>
      <w:pPr>
        <w:ind w:left="380" w:right="479" w:firstLine="747"/>
        <w:spacing w:after="0" w:line="266" w:lineRule="auto"/>
        <w:tabs>
          <w:tab w:leader="none" w:pos="1304"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Continuing Amendments; No Stop Order</w:t>
      </w:r>
      <w:r>
        <w:rPr>
          <w:rFonts w:ascii="Times New Roman" w:cs="Times New Roman" w:eastAsia="Times New Roman" w:hAnsi="Times New Roman"/>
          <w:sz w:val="13"/>
          <w:szCs w:val="13"/>
          <w:color w:val="auto"/>
        </w:rPr>
        <w:t>. If filing of the Prospectus, or any amendment or supplement thereto, or any Permitted Free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Writing Prospectus, is required under the Securities Act, the Company shall have filed the Prospectus (or such amendment or supplement) or such Permitted Free Writing Prospectus with the Commission in the manner and within the time period so required (without reliance on Rule 424(b)(8) or Rule 164(b)); the Registration Statement shall be effective; no stop order suspending the effectiveness of the Registration Statement or any part thereof, any Rule 462(b) Registration Statement, or any amendment thereof, nor suspending or preventing the use of the Prospectus shall have been issued; no proceedings for the issuance of such an order shall have been initiated or threatened; and any request of the Commission for additional information (to be included in the Registration Statement, the Prospectus or otherwise) shall have been complied with to the Agent’s satisfaction.</w:t>
      </w:r>
    </w:p>
    <w:p>
      <w:pPr>
        <w:spacing w:after="0" w:line="51" w:lineRule="exact"/>
        <w:rPr>
          <w:rFonts w:ascii="Times New Roman" w:cs="Times New Roman" w:eastAsia="Times New Roman" w:hAnsi="Times New Roman"/>
          <w:sz w:val="13"/>
          <w:szCs w:val="13"/>
          <w:color w:val="auto"/>
        </w:rPr>
      </w:pPr>
    </w:p>
    <w:p>
      <w:pPr>
        <w:ind w:left="380" w:right="459" w:firstLine="747"/>
        <w:spacing w:after="0" w:line="263" w:lineRule="auto"/>
        <w:tabs>
          <w:tab w:leader="none" w:pos="1312"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Absence of Certain Events</w:t>
      </w:r>
      <w:r>
        <w:rPr>
          <w:rFonts w:ascii="Times New Roman" w:cs="Times New Roman" w:eastAsia="Times New Roman" w:hAnsi="Times New Roman"/>
          <w:sz w:val="13"/>
          <w:szCs w:val="13"/>
          <w:color w:val="auto"/>
        </w:rPr>
        <w:t>. None of the following events shall have occurred and be continuing: (i) receipt by the Company or any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Shares for sale in any jurisdiction or the initiation or threatening of any proceeding for such purpose;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214" w:lineRule="exact"/>
        <w:rPr>
          <w:rFonts w:ascii="Times New Roman" w:cs="Times New Roman" w:eastAsia="Times New Roman" w:hAnsi="Times New Roman"/>
          <w:sz w:val="13"/>
          <w:szCs w:val="13"/>
          <w:color w:val="auto"/>
        </w:rPr>
      </w:pPr>
    </w:p>
    <w:p>
      <w:pPr>
        <w:ind w:left="380" w:right="759" w:firstLine="747"/>
        <w:spacing w:after="0" w:line="280" w:lineRule="auto"/>
        <w:tabs>
          <w:tab w:leader="none" w:pos="1304"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Material Misstatement or Omission</w:t>
      </w:r>
      <w:r>
        <w:rPr>
          <w:rFonts w:ascii="Times New Roman" w:cs="Times New Roman" w:eastAsia="Times New Roman" w:hAnsi="Times New Roman"/>
          <w:sz w:val="13"/>
          <w:szCs w:val="13"/>
          <w:color w:val="auto"/>
        </w:rPr>
        <w:t>. The Agent shall not have advised the Company that the Registration Statement or 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Prospectus, contains an untrue statement of fact which, in the Agent’s opinion, is material, or omits to state a fact which, in the Agent’s opinion, is material and is required to be stated therein or necessary to make the statements therein not misleading.</w:t>
      </w:r>
    </w:p>
    <w:p>
      <w:pPr>
        <w:spacing w:after="0" w:line="42" w:lineRule="exact"/>
        <w:rPr>
          <w:rFonts w:ascii="Times New Roman" w:cs="Times New Roman" w:eastAsia="Times New Roman" w:hAnsi="Times New Roman"/>
          <w:sz w:val="13"/>
          <w:szCs w:val="13"/>
          <w:color w:val="auto"/>
        </w:rPr>
      </w:pPr>
    </w:p>
    <w:p>
      <w:pPr>
        <w:ind w:left="380" w:right="419" w:firstLine="747"/>
        <w:spacing w:after="0" w:line="267" w:lineRule="auto"/>
        <w:tabs>
          <w:tab w:leader="none" w:pos="1312"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Adverse Changes</w:t>
      </w:r>
      <w:r>
        <w:rPr>
          <w:rFonts w:ascii="Times New Roman" w:cs="Times New Roman" w:eastAsia="Times New Roman" w:hAnsi="Times New Roman"/>
          <w:sz w:val="13"/>
          <w:szCs w:val="13"/>
          <w:color w:val="auto"/>
        </w:rPr>
        <w:t>. Except as contemplated in the Prospectus, subsequent to the respective dates as of which information is given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Prospectus, neither the Company nor any of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(other than a change in the number of outstanding Common Shares due to the issuance of shares upon the exercise of outstanding options or warrants), or any material change in the short-term or long-term debt of the Company, or any issuance of options, warrants, convertible securities or other rights to purchase the capital stock of the Company or any of its Subsidiaries, or any development involving a prospective</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6" w:right="1440" w:bottom="1440" w:gutter="0" w:footer="0" w:header="0"/>
        </w:sectPr>
      </w:pPr>
    </w:p>
    <w:bookmarkStart w:id="77" w:name="page78"/>
    <w:bookmarkEnd w:id="77"/>
    <w:p>
      <w:pPr>
        <w:ind w:left="380" w:right="439"/>
        <w:spacing w:after="0" w:line="27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Material Adverse Effect (whether or not arising in the ordinary course of business), or any loss by strike, fire, flood, earthquake, accident or other calamity, whether or not covered by insurance, incurred by the Company or any Subsidiary, the effect of which, in any such case described above, in the Agent’s judgment, makes it impractical or inadvisable to offer or deliver the Shares on the terms and in the manner contemplated in the Prospectus.</w:t>
      </w:r>
    </w:p>
    <w:p>
      <w:pPr>
        <w:spacing w:after="0" w:line="44" w:lineRule="exact"/>
        <w:rPr>
          <w:sz w:val="20"/>
          <w:szCs w:val="20"/>
          <w:color w:val="auto"/>
        </w:rPr>
      </w:pPr>
    </w:p>
    <w:p>
      <w:pPr>
        <w:ind w:left="1300" w:hanging="173"/>
        <w:spacing w:after="0"/>
        <w:tabs>
          <w:tab w:leader="none" w:pos="13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Compliance with Certain Obligations</w:t>
      </w:r>
      <w:r>
        <w:rPr>
          <w:rFonts w:ascii="Times New Roman" w:cs="Times New Roman" w:eastAsia="Times New Roman" w:hAnsi="Times New Roman"/>
          <w:sz w:val="13"/>
          <w:szCs w:val="13"/>
          <w:color w:val="auto"/>
        </w:rPr>
        <w:t>. The Company shall have performed each of its obligations under Sections 3(o) – 3(q).</w:t>
      </w:r>
    </w:p>
    <w:p>
      <w:pPr>
        <w:spacing w:after="0" w:line="92" w:lineRule="exact"/>
        <w:rPr>
          <w:rFonts w:ascii="Times New Roman" w:cs="Times New Roman" w:eastAsia="Times New Roman" w:hAnsi="Times New Roman"/>
          <w:sz w:val="13"/>
          <w:szCs w:val="13"/>
          <w:color w:val="auto"/>
        </w:rPr>
      </w:pPr>
    </w:p>
    <w:p>
      <w:pPr>
        <w:jc w:val="both"/>
        <w:ind w:left="380" w:right="539" w:firstLine="747"/>
        <w:spacing w:after="0" w:line="273" w:lineRule="auto"/>
        <w:tabs>
          <w:tab w:leader="none" w:pos="1289"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Opinion and Negative Assurance of Agent Counsel</w:t>
      </w:r>
      <w:r>
        <w:rPr>
          <w:rFonts w:ascii="Times New Roman" w:cs="Times New Roman" w:eastAsia="Times New Roman" w:hAnsi="Times New Roman"/>
          <w:sz w:val="13"/>
          <w:szCs w:val="13"/>
          <w:color w:val="auto"/>
        </w:rPr>
        <w:t>. On each Representation Date to which a Waiver does not apply, there shall have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been furnished to the Agent the opinion and negative assurance letter of DLA Piper LLP (US), counsel for the Agent, dated as of such Representation Date and addressed to Agent, in a form reasonably satisfactory to the Agent, and such counsel shall have received such papers and information as they request to enable them to pass upon such matters.</w:t>
      </w:r>
    </w:p>
    <w:p>
      <w:pPr>
        <w:spacing w:after="0" w:line="46" w:lineRule="exact"/>
        <w:rPr>
          <w:rFonts w:ascii="Times New Roman" w:cs="Times New Roman" w:eastAsia="Times New Roman" w:hAnsi="Times New Roman"/>
          <w:sz w:val="13"/>
          <w:szCs w:val="13"/>
          <w:color w:val="auto"/>
        </w:rPr>
      </w:pPr>
    </w:p>
    <w:p>
      <w:pPr>
        <w:ind w:left="380" w:right="599" w:firstLine="747"/>
        <w:spacing w:after="0" w:line="301" w:lineRule="auto"/>
        <w:tabs>
          <w:tab w:leader="none" w:pos="1312"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Representation Certificate</w:t>
      </w:r>
      <w:r>
        <w:rPr>
          <w:rFonts w:ascii="Times New Roman" w:cs="Times New Roman" w:eastAsia="Times New Roman" w:hAnsi="Times New Roman"/>
          <w:sz w:val="13"/>
          <w:szCs w:val="13"/>
          <w:color w:val="auto"/>
        </w:rPr>
        <w:t>. On or prior to the first Placement Notice, the Agent shall have received the Representation Certificate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form and substance satisfactory to the Agent and its counsel.</w:t>
      </w:r>
    </w:p>
    <w:p>
      <w:pPr>
        <w:spacing w:after="0" w:line="28" w:lineRule="exact"/>
        <w:rPr>
          <w:rFonts w:ascii="Times New Roman" w:cs="Times New Roman" w:eastAsia="Times New Roman" w:hAnsi="Times New Roman"/>
          <w:sz w:val="13"/>
          <w:szCs w:val="13"/>
          <w:color w:val="auto"/>
        </w:rPr>
      </w:pPr>
    </w:p>
    <w:p>
      <w:pPr>
        <w:ind w:left="380" w:right="1019" w:firstLine="747"/>
        <w:spacing w:after="0" w:line="301" w:lineRule="auto"/>
        <w:tabs>
          <w:tab w:leader="none" w:pos="1312"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Objection by FINRA</w:t>
      </w:r>
      <w:r>
        <w:rPr>
          <w:rFonts w:ascii="Times New Roman" w:cs="Times New Roman" w:eastAsia="Times New Roman" w:hAnsi="Times New Roman"/>
          <w:sz w:val="13"/>
          <w:szCs w:val="13"/>
          <w:color w:val="auto"/>
        </w:rPr>
        <w:t>. The Financial Industry Regulatory Authority, Inc. shall have raised no objection to the fairness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reasonableness of the underwriting terms and arrangements.</w:t>
      </w:r>
    </w:p>
    <w:p>
      <w:pPr>
        <w:spacing w:after="0" w:line="28" w:lineRule="exact"/>
        <w:rPr>
          <w:rFonts w:ascii="Times New Roman" w:cs="Times New Roman" w:eastAsia="Times New Roman" w:hAnsi="Times New Roman"/>
          <w:sz w:val="13"/>
          <w:szCs w:val="13"/>
          <w:color w:val="auto"/>
        </w:rPr>
      </w:pPr>
    </w:p>
    <w:p>
      <w:pPr>
        <w:jc w:val="both"/>
        <w:ind w:left="380" w:right="419" w:firstLine="747"/>
        <w:spacing w:after="0" w:line="294" w:lineRule="auto"/>
        <w:tabs>
          <w:tab w:leader="none" w:pos="1282"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Timely Filing of Prospectus and Prospectus Supplement</w:t>
      </w:r>
      <w:r>
        <w:rPr>
          <w:rFonts w:ascii="Times New Roman" w:cs="Times New Roman" w:eastAsia="Times New Roman" w:hAnsi="Times New Roman"/>
          <w:sz w:val="13"/>
          <w:szCs w:val="13"/>
          <w:color w:val="auto"/>
        </w:rPr>
        <w:t>. All filings with the Commission required by Rule 424 under the Securities Act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have been filed by the Settlement Date, as the case may be, shall have been made within the applicable time period prescribed for such filing by Rule 424.</w:t>
      </w:r>
    </w:p>
    <w:p>
      <w:pPr>
        <w:spacing w:after="0" w:line="199" w:lineRule="exact"/>
        <w:rPr>
          <w:rFonts w:ascii="Times New Roman" w:cs="Times New Roman" w:eastAsia="Times New Roman" w:hAnsi="Times New Roman"/>
          <w:sz w:val="13"/>
          <w:szCs w:val="13"/>
          <w:color w:val="auto"/>
        </w:rPr>
      </w:pPr>
    </w:p>
    <w:p>
      <w:pPr>
        <w:ind w:left="380" w:right="799" w:firstLine="747"/>
        <w:spacing w:after="0" w:line="301" w:lineRule="auto"/>
        <w:tabs>
          <w:tab w:leader="none" w:pos="1282"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Additional Documents and Certificates</w:t>
      </w:r>
      <w:r>
        <w:rPr>
          <w:rFonts w:ascii="Times New Roman" w:cs="Times New Roman" w:eastAsia="Times New Roman" w:hAnsi="Times New Roman"/>
          <w:sz w:val="13"/>
          <w:szCs w:val="13"/>
          <w:color w:val="auto"/>
        </w:rPr>
        <w:t>. The Company shall have furnished to the Agent and the Agent’s counsel such additional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documents, certificates and evidence as they may have reasonably requested.</w:t>
      </w:r>
    </w:p>
    <w:p>
      <w:pPr>
        <w:spacing w:after="0" w:line="112" w:lineRule="exact"/>
        <w:rPr>
          <w:sz w:val="20"/>
          <w:szCs w:val="20"/>
          <w:color w:val="auto"/>
        </w:rPr>
      </w:pPr>
    </w:p>
    <w:p>
      <w:pPr>
        <w:ind w:left="380" w:right="619"/>
        <w:spacing w:after="0" w:line="278" w:lineRule="auto"/>
        <w:rPr>
          <w:sz w:val="20"/>
          <w:szCs w:val="20"/>
          <w:color w:val="auto"/>
        </w:rPr>
      </w:pPr>
      <w:r>
        <w:rPr>
          <w:rFonts w:ascii="Times New Roman" w:cs="Times New Roman" w:eastAsia="Times New Roman" w:hAnsi="Times New Roman"/>
          <w:sz w:val="13"/>
          <w:szCs w:val="13"/>
          <w:color w:val="auto"/>
        </w:rPr>
        <w:t>All opinions, certificates, letters and other documents described in this Section 4 will be in compliance with the provisions hereof only if they are satisfactory in form and substance to Agent and the Agent’s counsel. The Company will furnish Agent with such conformed copies of such opinions, certificates, letters and other documents as Agent shall reasonably request.</w:t>
      </w:r>
    </w:p>
    <w:p>
      <w:pPr>
        <w:spacing w:after="0" w:line="42" w:lineRule="exact"/>
        <w:rPr>
          <w:sz w:val="20"/>
          <w:szCs w:val="20"/>
          <w:color w:val="auto"/>
        </w:rPr>
      </w:pPr>
    </w:p>
    <w:p>
      <w:pPr>
        <w:ind w:left="840" w:hanging="126"/>
        <w:spacing w:after="0"/>
        <w:tabs>
          <w:tab w:leader="none" w:pos="8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Indemnification and Contribution</w:t>
      </w:r>
      <w:r>
        <w:rPr>
          <w:rFonts w:ascii="Times New Roman" w:cs="Times New Roman" w:eastAsia="Times New Roman" w:hAnsi="Times New Roman"/>
          <w:sz w:val="13"/>
          <w:szCs w:val="13"/>
          <w:color w:val="auto"/>
        </w:rPr>
        <w:t>.</w:t>
      </w:r>
    </w:p>
    <w:p>
      <w:pPr>
        <w:spacing w:after="0" w:line="94" w:lineRule="exact"/>
        <w:rPr>
          <w:rFonts w:ascii="Times New Roman" w:cs="Times New Roman" w:eastAsia="Times New Roman" w:hAnsi="Times New Roman"/>
          <w:sz w:val="13"/>
          <w:szCs w:val="13"/>
          <w:color w:val="auto"/>
        </w:rPr>
      </w:pPr>
    </w:p>
    <w:p>
      <w:pPr>
        <w:ind w:left="380" w:right="499" w:firstLine="747"/>
        <w:spacing w:after="0" w:line="271" w:lineRule="auto"/>
        <w:tabs>
          <w:tab w:leader="none" w:pos="1304"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Company Indemnification</w:t>
      </w:r>
      <w:r>
        <w:rPr>
          <w:rFonts w:ascii="Times New Roman" w:cs="Times New Roman" w:eastAsia="Times New Roman" w:hAnsi="Times New Roman"/>
          <w:sz w:val="13"/>
          <w:szCs w:val="13"/>
          <w:color w:val="auto"/>
        </w:rPr>
        <w:t>. The Company agrees to indemnify and hold harmless the Agent, its affiliates, directors, officers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employees, and each person, if any, who controls the Agent within the meaning of Section 15 of the Act or Section 20 of the Exchange Act against any losses, claims, damages or liabilities, joint or several, to which Agent may become subject, under the Securities Act or otherwise (including in settlement of any litigation), insofar as such losses, claims, damages or liabilities (or actions in respect thereof) arise out of or are based upon, in whole or in part:</w:t>
      </w:r>
    </w:p>
    <w:p>
      <w:pPr>
        <w:spacing w:after="0" w:line="215" w:lineRule="exact"/>
        <w:rPr>
          <w:rFonts w:ascii="Times New Roman" w:cs="Times New Roman" w:eastAsia="Times New Roman" w:hAnsi="Times New Roman"/>
          <w:sz w:val="13"/>
          <w:szCs w:val="13"/>
          <w:color w:val="auto"/>
        </w:rPr>
      </w:pPr>
    </w:p>
    <w:p>
      <w:pPr>
        <w:ind w:left="380" w:right="399" w:firstLine="1076"/>
        <w:spacing w:after="0" w:line="266" w:lineRule="auto"/>
        <w:tabs>
          <w:tab w:leader="none" w:pos="1611" w:val="left"/>
        </w:tabs>
        <w:numPr>
          <w:ilvl w:val="2"/>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 untrue statement or alleged untrue statement of a material fact contained in the Registration Statement, including the Rule 430B Information and at any subsequent time pursuant to Rules 430A and 430B promulgated under the Securities Act, and any other information deemed to be part of the Registration Statement at the time of effectiveness, and at any subsequent time pursuant to the Securities Act or the Exchange Act, and the Prospectus, or any amendment or supplement thereto (including any documents filed under the Exchange Act and deemed to be incorporated by reference into the Prospectus), any Permitted Free Writing Prospectus, or any roadshow as defined in Rule 433(h) under the Act (a </w:t>
      </w:r>
      <w:r>
        <w:rPr>
          <w:rFonts w:ascii="Times New Roman" w:cs="Times New Roman" w:eastAsia="Times New Roman" w:hAnsi="Times New Roman"/>
          <w:sz w:val="13"/>
          <w:szCs w:val="13"/>
          <w:b w:val="1"/>
          <w:bCs w:val="1"/>
          <w:i w:val="1"/>
          <w:iCs w:val="1"/>
          <w:color w:val="auto"/>
        </w:rPr>
        <w:t>“road show”</w:t>
      </w:r>
      <w:r>
        <w:rPr>
          <w:rFonts w:ascii="Times New Roman" w:cs="Times New Roman" w:eastAsia="Times New Roman" w:hAnsi="Times New Roman"/>
          <w:sz w:val="13"/>
          <w:szCs w:val="13"/>
          <w:color w:val="auto"/>
        </w:rPr>
        <w:t>), or an omission or alleged omission to state therein a material fact required to be stated therein or necessary to make the statements therein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not misleading,</w:t>
      </w:r>
    </w:p>
    <w:p>
      <w:pPr>
        <w:spacing w:after="0" w:line="217" w:lineRule="exact"/>
        <w:rPr>
          <w:rFonts w:ascii="Times New Roman" w:cs="Times New Roman" w:eastAsia="Times New Roman" w:hAnsi="Times New Roman"/>
          <w:sz w:val="13"/>
          <w:szCs w:val="13"/>
          <w:color w:val="auto"/>
        </w:rPr>
      </w:pPr>
    </w:p>
    <w:p>
      <w:pPr>
        <w:ind w:left="1660" w:hanging="204"/>
        <w:spacing w:after="0"/>
        <w:tabs>
          <w:tab w:leader="none" w:pos="1660" w:val="left"/>
        </w:tabs>
        <w:numPr>
          <w:ilvl w:val="2"/>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inaccuracy in the representations and warranties of the Company contained herein;</w:t>
      </w:r>
    </w:p>
    <w:p>
      <w:pPr>
        <w:spacing w:after="0" w:line="92" w:lineRule="exact"/>
        <w:rPr>
          <w:rFonts w:ascii="Times New Roman" w:cs="Times New Roman" w:eastAsia="Times New Roman" w:hAnsi="Times New Roman"/>
          <w:sz w:val="13"/>
          <w:szCs w:val="13"/>
          <w:color w:val="auto"/>
        </w:rPr>
      </w:pPr>
    </w:p>
    <w:p>
      <w:pPr>
        <w:ind w:left="380" w:right="519" w:firstLine="1076"/>
        <w:spacing w:after="0" w:line="298" w:lineRule="auto"/>
        <w:tabs>
          <w:tab w:leader="none" w:pos="1686" w:val="left"/>
        </w:tabs>
        <w:numPr>
          <w:ilvl w:val="2"/>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investigation or proceeding by any governmental authority, commenced or threatened (whether or not the Agent is a target of or party to such investigation or proceeding);</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8" w:right="1440" w:bottom="1440" w:gutter="0" w:footer="0" w:header="0"/>
        </w:sectPr>
      </w:pPr>
    </w:p>
    <w:bookmarkStart w:id="78" w:name="page79"/>
    <w:bookmarkEnd w:id="78"/>
    <w:p>
      <w:pPr>
        <w:ind w:left="14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(iv) any failure of the Company to perform its respective obligations hereunder or under law;</w:t>
      </w:r>
    </w:p>
    <w:p>
      <w:pPr>
        <w:spacing w:after="0" w:line="174" w:lineRule="exact"/>
        <w:rPr>
          <w:sz w:val="20"/>
          <w:szCs w:val="20"/>
          <w:color w:val="auto"/>
        </w:rPr>
      </w:pPr>
    </w:p>
    <w:p>
      <w:pPr>
        <w:ind w:left="380" w:right="439"/>
        <w:spacing w:after="0" w:line="267" w:lineRule="auto"/>
        <w:rPr>
          <w:sz w:val="20"/>
          <w:szCs w:val="20"/>
          <w:color w:val="auto"/>
        </w:rPr>
      </w:pPr>
      <w:r>
        <w:rPr>
          <w:rFonts w:ascii="Times New Roman" w:cs="Times New Roman" w:eastAsia="Times New Roman" w:hAnsi="Times New Roman"/>
          <w:sz w:val="13"/>
          <w:szCs w:val="13"/>
          <w:color w:val="auto"/>
        </w:rPr>
        <w:t xml:space="preserve">and will reimburse the Agent for any legal or other expenses reasonably incurred by it in connection with investigating or defending against such loss, claim, damage, liability or action;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the Company shall not be liable in any such case of (i) through (iv) to the extent that any such loss, claim, damage, liability or action arises out of or is based upon an untrue statement or alleged untrue statement or omission or alleged omission made in the Registration Statement, the Prospectus, or any such amendment or supplement, in reliance upon and in conformity with written information furnished to the Company by Agent specifically for use in the preparation thereof. “</w:t>
      </w:r>
      <w:r>
        <w:rPr>
          <w:rFonts w:ascii="Times New Roman" w:cs="Times New Roman" w:eastAsia="Times New Roman" w:hAnsi="Times New Roman"/>
          <w:sz w:val="13"/>
          <w:szCs w:val="13"/>
          <w:b w:val="1"/>
          <w:bCs w:val="1"/>
          <w:i w:val="1"/>
          <w:iCs w:val="1"/>
          <w:color w:val="auto"/>
        </w:rPr>
        <w:t>Rule 430B Information</w:t>
      </w:r>
      <w:r>
        <w:rPr>
          <w:rFonts w:ascii="Times New Roman" w:cs="Times New Roman" w:eastAsia="Times New Roman" w:hAnsi="Times New Roman"/>
          <w:sz w:val="13"/>
          <w:szCs w:val="13"/>
          <w:color w:val="auto"/>
        </w:rPr>
        <w:t>,” as used herein, means information with respect to the Shares and the offering thereof permitted to be omitted from the Registration Statement when it becomes effective pursuant to Rule 430B.</w:t>
      </w:r>
    </w:p>
    <w:p>
      <w:pPr>
        <w:spacing w:after="0" w:line="133" w:lineRule="exact"/>
        <w:rPr>
          <w:sz w:val="20"/>
          <w:szCs w:val="20"/>
          <w:color w:val="auto"/>
        </w:rPr>
      </w:pPr>
    </w:p>
    <w:p>
      <w:pPr>
        <w:ind w:left="380" w:right="419"/>
        <w:spacing w:after="0" w:line="265" w:lineRule="auto"/>
        <w:rPr>
          <w:sz w:val="20"/>
          <w:szCs w:val="20"/>
          <w:color w:val="auto"/>
        </w:rPr>
      </w:pPr>
      <w:r>
        <w:rPr>
          <w:rFonts w:ascii="Times New Roman" w:cs="Times New Roman" w:eastAsia="Times New Roman" w:hAnsi="Times New Roman"/>
          <w:sz w:val="13"/>
          <w:szCs w:val="13"/>
          <w:color w:val="auto"/>
        </w:rPr>
        <w:t>In addition to its other obligations under this Section 5(a), the Company agrees that, as an interim measure during the pendency of any claim, action, investigation, inquiry or other proceeding arising out of or based upon any statement or omission, or any alleged statement or omission, described in this Section 5(a), it will reimburse the Agent on a monthly basis for all reasonable legal fees or other expenses incurred in connection with investigating or defending any such claim, action, investigation, inquiry or other proceeding, notwithstanding the absence of a judicial determination as to the propriety and enforceability of the Company’s obligation to reimburse the Agent for such expenses and the possibility that such payments might later be held to have been improper by a court of competent jurisdiction. Any such interim reimbursement payments which are not made to the Agent within 30 days of a request for reimbursement shall bear interest at the WSJ Prime Rate (as published from time to time by the Wall Street Journal).</w:t>
      </w:r>
    </w:p>
    <w:p>
      <w:pPr>
        <w:spacing w:after="0" w:line="54" w:lineRule="exact"/>
        <w:rPr>
          <w:sz w:val="20"/>
          <w:szCs w:val="20"/>
          <w:color w:val="auto"/>
        </w:rPr>
      </w:pPr>
    </w:p>
    <w:p>
      <w:pPr>
        <w:ind w:left="380" w:right="399" w:firstLine="747"/>
        <w:spacing w:after="0" w:line="263" w:lineRule="auto"/>
        <w:tabs>
          <w:tab w:leader="none" w:pos="1312"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Agent Indemnification</w:t>
      </w:r>
      <w:r>
        <w:rPr>
          <w:rFonts w:ascii="Times New Roman" w:cs="Times New Roman" w:eastAsia="Times New Roman" w:hAnsi="Times New Roman"/>
          <w:sz w:val="13"/>
          <w:szCs w:val="13"/>
          <w:color w:val="auto"/>
        </w:rPr>
        <w:t>. The Agent will indemnify and hold harmless the Company against any losses, claims, damages or liabilities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which the Company may become subject, under the Securities Act or otherwise (including in settlement of any litigation, if such settlement is effected with the written consent of the Agent), but only insofar as such losses, claims, damages or liabilities (or actions in respect thereof) arise out of or are based upon an untrue statement or alleged untrue statement of a material fact contained in the Registration Statement, the Prospectus,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the Agent specifically for use in the preparation thereof, it being understood and agreed that the only information furnished by the Agent for use in the Registration Statement or the Prospectus consists of the statements set forth in the seventh paragraph under the caption “Plan of Distribution” in the Prospectus, and will reimburse the Company for any legal or other expenses reasonably incurred by the Company in connection with investigating or defending against any such loss, claim, damage, liability or action.</w:t>
      </w:r>
    </w:p>
    <w:p>
      <w:pPr>
        <w:spacing w:after="0" w:line="219" w:lineRule="exact"/>
        <w:rPr>
          <w:rFonts w:ascii="Times New Roman" w:cs="Times New Roman" w:eastAsia="Times New Roman" w:hAnsi="Times New Roman"/>
          <w:sz w:val="13"/>
          <w:szCs w:val="13"/>
          <w:color w:val="auto"/>
        </w:rPr>
      </w:pPr>
    </w:p>
    <w:p>
      <w:pPr>
        <w:ind w:left="380" w:right="399" w:firstLine="747"/>
        <w:spacing w:after="0" w:line="262" w:lineRule="auto"/>
        <w:tabs>
          <w:tab w:leader="none" w:pos="130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Notice and Procedures</w:t>
      </w:r>
      <w:r>
        <w:rPr>
          <w:rFonts w:ascii="Times New Roman" w:cs="Times New Roman" w:eastAsia="Times New Roman" w:hAnsi="Times New Roman"/>
          <w:sz w:val="13"/>
          <w:szCs w:val="13"/>
          <w:color w:val="auto"/>
        </w:rPr>
        <w:t>. Promptly after receipt by an indemnified party under subsection (a) or (b) above of notice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if, in the sole judgment of the Agent, it is advisable for the Agent to be represented by separate counsel, the Agent shall have the right to employ a single counsel to represent the Agent, in which event the reasonable fees and expenses of such separate counsel shall be borne by the indemnifying party or parties and reimbursed to the Agent as incurred (in accordance with the provisions of the second paragraph in subsection (a) above).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8" w:right="1440" w:bottom="1440" w:gutter="0" w:footer="0" w:header="0"/>
        </w:sectPr>
      </w:pPr>
    </w:p>
    <w:bookmarkStart w:id="79" w:name="page80"/>
    <w:bookmarkEnd w:id="79"/>
    <w:p>
      <w:pPr>
        <w:ind w:left="380" w:right="399"/>
        <w:spacing w:after="0" w:line="26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The indemnifying party under this Section 5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this Section 5,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220" w:lineRule="exact"/>
        <w:rPr>
          <w:sz w:val="20"/>
          <w:szCs w:val="20"/>
          <w:color w:val="auto"/>
        </w:rPr>
      </w:pPr>
    </w:p>
    <w:p>
      <w:pPr>
        <w:ind w:left="380" w:right="439" w:firstLine="747"/>
        <w:spacing w:after="0" w:line="265" w:lineRule="auto"/>
        <w:tabs>
          <w:tab w:leader="none" w:pos="1312" w:val="left"/>
        </w:tabs>
        <w:numPr>
          <w:ilvl w:val="2"/>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Contribution; Limitations on Liability; Non-Exclusive Remedy</w:t>
      </w:r>
      <w:r>
        <w:rPr>
          <w:rFonts w:ascii="Times New Roman" w:cs="Times New Roman" w:eastAsia="Times New Roman" w:hAnsi="Times New Roman"/>
          <w:sz w:val="13"/>
          <w:szCs w:val="13"/>
          <w:color w:val="auto"/>
        </w:rPr>
        <w:t>. If the indemnification provided for in this Section 5 is unavailable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Agent on the other from the offering of the Shares, or</w:t>
      </w:r>
    </w:p>
    <w:p>
      <w:pPr>
        <w:ind w:left="380" w:right="419" w:firstLine="5"/>
        <w:spacing w:after="0" w:line="260" w:lineRule="auto"/>
        <w:tabs>
          <w:tab w:leader="none" w:pos="57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(before deducting expenses) from the sale of the Shares. The relative fault shall be determined by reference to, among other things, whether the untrue or alleged untrue statement of a material fact or the omission or alleged omission to state a material fact relates to information supplied by the Company or the Agent, the intent of the parties and their relative knowledge, access to information and opportunity to correct or prevent such untrue statement or omission. The Company and the Agent agree that it would not be just and equitable if contributions pursuant to this subsection (d) were to be determined by pro rata allocation or by any other method of allocation which does not take account of the equitable considerations referred to in this subsection (d). The amount paid or payable by an indemnified party as a result of the losses, claims, damages or liabilities referred to in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the Agent shall not be required to contribute any amount in excess of the commissions received by it under this Agreement. No person guilty of fraudulent misrepresentation (within the meaning of Section 11(f) of the Securities Act) shall be entitled to contribution from any person who was not guilty of such fraudulent misrepresentation.</w:t>
      </w:r>
    </w:p>
    <w:p>
      <w:pPr>
        <w:spacing w:after="0" w:line="58" w:lineRule="exact"/>
        <w:rPr>
          <w:rFonts w:ascii="Times New Roman" w:cs="Times New Roman" w:eastAsia="Times New Roman" w:hAnsi="Times New Roman"/>
          <w:sz w:val="13"/>
          <w:szCs w:val="13"/>
          <w:color w:val="auto"/>
        </w:rPr>
      </w:pPr>
    </w:p>
    <w:p>
      <w:pPr>
        <w:ind w:left="380" w:right="459" w:firstLine="334"/>
        <w:spacing w:after="0" w:line="272" w:lineRule="auto"/>
        <w:tabs>
          <w:tab w:leader="none" w:pos="844" w:val="left"/>
        </w:tabs>
        <w:numPr>
          <w:ilvl w:val="1"/>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Representations and Agreements to Survive Delivery</w:t>
      </w:r>
      <w:r>
        <w:rPr>
          <w:rFonts w:ascii="Times New Roman" w:cs="Times New Roman" w:eastAsia="Times New Roman" w:hAnsi="Times New Roman"/>
          <w:sz w:val="13"/>
          <w:szCs w:val="13"/>
          <w:color w:val="auto"/>
        </w:rPr>
        <w:t>. All representations, warranties, and agreements of the Company herein or in certificates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delivered pursuant hereto, including but not limited to the agreements of the Agent and the Company contained in Section 5 hereof, shall remain operative and in full force and effect regardless of any investigation made by or on behalf of the Agent or any controlling person thereof, or the Company or any of its officers, directors, or controlling persons, and shall survive delivery of, and payment for, the Shares to and by the Agent hereunder.</w:t>
      </w:r>
    </w:p>
    <w:p>
      <w:pPr>
        <w:spacing w:after="0" w:line="210" w:lineRule="exact"/>
        <w:rPr>
          <w:rFonts w:ascii="Times New Roman" w:cs="Times New Roman" w:eastAsia="Times New Roman" w:hAnsi="Times New Roman"/>
          <w:sz w:val="13"/>
          <w:szCs w:val="13"/>
          <w:color w:val="auto"/>
        </w:rPr>
      </w:pPr>
    </w:p>
    <w:p>
      <w:pPr>
        <w:ind w:left="840" w:hanging="126"/>
        <w:spacing w:after="0"/>
        <w:tabs>
          <w:tab w:leader="none" w:pos="840" w:val="left"/>
        </w:tabs>
        <w:numPr>
          <w:ilvl w:val="1"/>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Termination of this Agreement</w:t>
      </w:r>
      <w:r>
        <w:rPr>
          <w:rFonts w:ascii="Times New Roman" w:cs="Times New Roman" w:eastAsia="Times New Roman" w:hAnsi="Times New Roman"/>
          <w:sz w:val="13"/>
          <w:szCs w:val="13"/>
          <w:color w:val="auto"/>
        </w:rPr>
        <w:t>.</w:t>
      </w:r>
    </w:p>
    <w:p>
      <w:pPr>
        <w:spacing w:after="0" w:line="96" w:lineRule="exact"/>
        <w:rPr>
          <w:rFonts w:ascii="Times New Roman" w:cs="Times New Roman" w:eastAsia="Times New Roman" w:hAnsi="Times New Roman"/>
          <w:sz w:val="13"/>
          <w:szCs w:val="13"/>
          <w:color w:val="auto"/>
        </w:rPr>
      </w:pPr>
    </w:p>
    <w:p>
      <w:pPr>
        <w:ind w:left="380" w:right="419" w:firstLine="747"/>
        <w:spacing w:after="0" w:line="269" w:lineRule="auto"/>
        <w:tabs>
          <w:tab w:leader="none" w:pos="1304" w:val="left"/>
        </w:tabs>
        <w:numPr>
          <w:ilvl w:val="2"/>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the right, by giving ten (10) days’ written notice as hereinafter specified, to terminate the provisions of this Agreement relating to the solicitation of offers to purchase the Shares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the termination and (ii) the provisions of Section 3(g), Section 5, and Section 6 of this Agreement shall remain in full force and effect notwithstanding such termination.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8" w:right="1440" w:bottom="1440" w:gutter="0" w:footer="0" w:header="0"/>
        </w:sectPr>
      </w:pPr>
    </w:p>
    <w:bookmarkStart w:id="80" w:name="page81"/>
    <w:bookmarkEnd w:id="80"/>
    <w:p>
      <w:pPr>
        <w:jc w:val="both"/>
        <w:ind w:left="380" w:right="419" w:firstLine="747"/>
        <w:spacing w:after="0" w:line="272" w:lineRule="auto"/>
        <w:tabs>
          <w:tab w:leader="none" w:pos="1312"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Agent shall have the right, by giving ten (10) days written notice as hereinafter specified, to terminate the provisions of this Agreement solely with respect to such agent relating to the solicitation of offers to purchase the Shares in its sole discretion at any time. Any such termination shall be without liability of any party to any other party except that the provisions of Section 3(g), Section 5, and Section 6 of this Agreement shall remain in full force and effect notwithstanding such termination.</w:t>
      </w:r>
    </w:p>
    <w:p>
      <w:pPr>
        <w:spacing w:after="0" w:line="49" w:lineRule="exact"/>
        <w:rPr>
          <w:rFonts w:ascii="Times New Roman" w:cs="Times New Roman" w:eastAsia="Times New Roman" w:hAnsi="Times New Roman"/>
          <w:sz w:val="13"/>
          <w:szCs w:val="13"/>
          <w:color w:val="auto"/>
        </w:rPr>
      </w:pPr>
    </w:p>
    <w:p>
      <w:pPr>
        <w:ind w:left="380" w:right="539" w:firstLine="747"/>
        <w:spacing w:after="0" w:line="278" w:lineRule="auto"/>
        <w:tabs>
          <w:tab w:leader="none" w:pos="1304"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earlier terminated pursuant to this Section 7, this Agreement shall automatically terminate upon the issuance and sale of all of the Shares through the Agent on the terms and subject to the conditions set forth herein, except that the provisions of Section 3(g), Section 5, and Section 6 of this Agreement shall remain in full force and effect notwithstanding such termination.</w:t>
      </w:r>
    </w:p>
    <w:p>
      <w:pPr>
        <w:spacing w:after="0" w:line="45" w:lineRule="exact"/>
        <w:rPr>
          <w:rFonts w:ascii="Times New Roman" w:cs="Times New Roman" w:eastAsia="Times New Roman" w:hAnsi="Times New Roman"/>
          <w:sz w:val="13"/>
          <w:szCs w:val="13"/>
          <w:color w:val="auto"/>
        </w:rPr>
      </w:pPr>
    </w:p>
    <w:p>
      <w:pPr>
        <w:jc w:val="both"/>
        <w:ind w:left="380" w:right="739" w:firstLine="747"/>
        <w:spacing w:after="0" w:line="278" w:lineRule="auto"/>
        <w:tabs>
          <w:tab w:leader="none" w:pos="1312"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remain in full force and effect unless terminated pursuant to Sections 7(a), (b) or (c) above or otherwise by mutual agreement of the parties; provided that any such termination by mutual agreement shall in all cases be deemed to provide that Section 3(g), Section 5, and Section 6 shall remain in full force and effect.</w:t>
      </w:r>
    </w:p>
    <w:p>
      <w:pPr>
        <w:spacing w:after="0" w:line="45" w:lineRule="exact"/>
        <w:rPr>
          <w:rFonts w:ascii="Times New Roman" w:cs="Times New Roman" w:eastAsia="Times New Roman" w:hAnsi="Times New Roman"/>
          <w:sz w:val="13"/>
          <w:szCs w:val="13"/>
          <w:color w:val="auto"/>
        </w:rPr>
      </w:pPr>
    </w:p>
    <w:p>
      <w:pPr>
        <w:ind w:left="380" w:right="399" w:firstLine="747"/>
        <w:spacing w:after="0" w:line="272" w:lineRule="auto"/>
        <w:tabs>
          <w:tab w:leader="none" w:pos="1304"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termination of this Agreement shall be effective on the date specified in such notice of termination; provided that such termination shall not be effective until the close of business on the date of receipt of such notice by the Agent or the Company, as the case may be. If such termination shall occur prior to the Settlement Date for any sale of the Shares, such sale shall settle in accordance with the provisions of Section 2(a)(vii) of this Agreement.</w:t>
      </w:r>
    </w:p>
    <w:p>
      <w:pPr>
        <w:spacing w:after="0" w:line="45" w:lineRule="exact"/>
        <w:rPr>
          <w:rFonts w:ascii="Times New Roman" w:cs="Times New Roman" w:eastAsia="Times New Roman" w:hAnsi="Times New Roman"/>
          <w:sz w:val="13"/>
          <w:szCs w:val="13"/>
          <w:color w:val="auto"/>
        </w:rPr>
      </w:pPr>
    </w:p>
    <w:p>
      <w:pPr>
        <w:ind w:left="380" w:right="499" w:firstLine="334"/>
        <w:spacing w:after="0" w:line="270" w:lineRule="auto"/>
        <w:tabs>
          <w:tab w:leader="none" w:pos="844"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Default by the Company</w:t>
      </w:r>
      <w:r>
        <w:rPr>
          <w:rFonts w:ascii="Times New Roman" w:cs="Times New Roman" w:eastAsia="Times New Roman" w:hAnsi="Times New Roman"/>
          <w:sz w:val="13"/>
          <w:szCs w:val="13"/>
          <w:color w:val="auto"/>
        </w:rPr>
        <w:t>. If the Company shall fail at any Settlement Date to sell and deliver the number of Shares which it is obligated to sell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hereunder, then this Agreement shall terminate without any liability on the part of the Agent or, except as provided in Section 3(g) hereof, any non-defaulting party. No action taken pursuant to this Section shall relieve the Company from liability, if any, in respect of such default, and the Company shall (A) hold the Agent harmless against any loss, claim or damage arising from or as a result of such default by the Company and (B) pay the Agent any commission to which it would otherwise be entitled absent such default.</w:t>
      </w:r>
    </w:p>
    <w:p>
      <w:pPr>
        <w:spacing w:after="0" w:line="47" w:lineRule="exact"/>
        <w:rPr>
          <w:rFonts w:ascii="Times New Roman" w:cs="Times New Roman" w:eastAsia="Times New Roman" w:hAnsi="Times New Roman"/>
          <w:sz w:val="13"/>
          <w:szCs w:val="13"/>
          <w:color w:val="auto"/>
        </w:rPr>
      </w:pPr>
    </w:p>
    <w:p>
      <w:pPr>
        <w:ind w:left="380" w:right="439" w:firstLine="334"/>
        <w:spacing w:after="0" w:line="270" w:lineRule="auto"/>
        <w:tabs>
          <w:tab w:leader="none" w:pos="844"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Notices</w:t>
      </w:r>
      <w:r>
        <w:rPr>
          <w:rFonts w:ascii="Times New Roman" w:cs="Times New Roman" w:eastAsia="Times New Roman" w:hAnsi="Times New Roman"/>
          <w:sz w:val="13"/>
          <w:szCs w:val="13"/>
          <w:color w:val="auto"/>
        </w:rPr>
        <w:t>. Except as otherwise provided herein, all communications under this Agreement shall be in writing and shall be delivered via overnight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delivery services (i) if to the Agent, at 1 Post Office Square, 30th Floor, Boston, Massachusetts 02109, Attention: General Counsel; and (ii) if to the Company, at 6420 Levit Green Boulevard, Suite 310, Houston, Texas, Attention: Chief Executive Officer;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47" w:lineRule="exact"/>
        <w:rPr>
          <w:rFonts w:ascii="Times New Roman" w:cs="Times New Roman" w:eastAsia="Times New Roman" w:hAnsi="Times New Roman"/>
          <w:sz w:val="13"/>
          <w:szCs w:val="13"/>
          <w:color w:val="auto"/>
        </w:rPr>
      </w:pPr>
    </w:p>
    <w:p>
      <w:pPr>
        <w:ind w:left="380" w:right="559" w:firstLine="334"/>
        <w:spacing w:after="0" w:line="270" w:lineRule="auto"/>
        <w:tabs>
          <w:tab w:leader="none" w:pos="911"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Persons Entitled to Benefit of Agreement</w:t>
      </w:r>
      <w:r>
        <w:rPr>
          <w:rFonts w:ascii="Times New Roman" w:cs="Times New Roman" w:eastAsia="Times New Roman" w:hAnsi="Times New Roman"/>
          <w:sz w:val="13"/>
          <w:szCs w:val="13"/>
          <w:color w:val="auto"/>
        </w:rPr>
        <w:t>. This Agreement shall inure to the benefit of and be binding upon the parties hereto and their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respective successors and assigns and the controlling persons, officers and directors referred to in Section 5.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Agent.</w:t>
      </w:r>
    </w:p>
    <w:p>
      <w:pPr>
        <w:spacing w:after="0" w:line="47" w:lineRule="exact"/>
        <w:rPr>
          <w:rFonts w:ascii="Times New Roman" w:cs="Times New Roman" w:eastAsia="Times New Roman" w:hAnsi="Times New Roman"/>
          <w:sz w:val="13"/>
          <w:szCs w:val="13"/>
          <w:color w:val="auto"/>
        </w:rPr>
      </w:pPr>
    </w:p>
    <w:p>
      <w:pPr>
        <w:ind w:left="380" w:right="439" w:firstLine="334"/>
        <w:spacing w:after="0" w:line="266" w:lineRule="auto"/>
        <w:tabs>
          <w:tab w:leader="none" w:pos="906"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Absence of Fiduciary Relationship</w:t>
      </w:r>
      <w:r>
        <w:rPr>
          <w:rFonts w:ascii="Times New Roman" w:cs="Times New Roman" w:eastAsia="Times New Roman" w:hAnsi="Times New Roman"/>
          <w:sz w:val="13"/>
          <w:szCs w:val="13"/>
          <w:color w:val="auto"/>
        </w:rPr>
        <w:t>. The Company, having been advised by counsel, acknowledges and agrees that: (a) the Agent has been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retained solely to act as a sales agent in connection with the sale of the Shares and that no fiduciary, advisory or agency relationship between the Company (including any of the Company’s affiliates (including directors), equity holders, creditors, employees or agents, hereafter,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Representatives”</w:t>
      </w:r>
      <w:r>
        <w:rPr>
          <w:rFonts w:ascii="Times New Roman" w:cs="Times New Roman" w:eastAsia="Times New Roman" w:hAnsi="Times New Roman"/>
          <w:sz w:val="13"/>
          <w:szCs w:val="13"/>
          <w:color w:val="auto"/>
        </w:rPr>
        <w:t>), on the one hand, and the Agent on the other, has been created or will be created in respect of any of the transactions contemplated by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this Agreement, irrespective of whether the Agent has advised or is advising the Company on other matters and irrespective of the use of the defined term “Agent;” (b) neither of the Agent nor any of its affiliates (including directors), equity holders, creditors, employees or agents, hereafter, </w:t>
      </w:r>
      <w:r>
        <w:rPr>
          <w:rFonts w:ascii="Times New Roman" w:cs="Times New Roman" w:eastAsia="Times New Roman" w:hAnsi="Times New Roman"/>
          <w:sz w:val="13"/>
          <w:szCs w:val="13"/>
          <w:b w:val="1"/>
          <w:bCs w:val="1"/>
          <w:i w:val="1"/>
          <w:iCs w:val="1"/>
          <w:color w:val="auto"/>
        </w:rPr>
        <w:t>“Agent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Representatives”</w:t>
      </w:r>
      <w:r>
        <w:rPr>
          <w:rFonts w:ascii="Times New Roman" w:cs="Times New Roman" w:eastAsia="Times New Roman" w:hAnsi="Times New Roman"/>
          <w:sz w:val="13"/>
          <w:szCs w:val="13"/>
          <w:color w:val="auto"/>
        </w:rPr>
        <w:t>) shall have any duty or obligation to the Company or any Company Representative except as set forth in this Agreement; (b) the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8" w:right="1440" w:bottom="1440" w:gutter="0" w:footer="0" w:header="0"/>
        </w:sectPr>
      </w:pPr>
    </w:p>
    <w:bookmarkStart w:id="81" w:name="page82"/>
    <w:bookmarkEnd w:id="81"/>
    <w:p>
      <w:pPr>
        <w:ind w:left="380" w:right="399"/>
        <w:spacing w:after="0" w:line="26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price and other terms of any Placement executed pursuant to this Agreement, as well as the terms of this Agreement, are deemed acceptable to the Company and its counsel, following discussions and arms-length negotiations with the Agent; (c) the Company is capable of evaluating and understanding, and in fact has evaluated, understands and accepts the terms, risks and conditions of any Placement to be executed pursuant to this Agreement, and any other transactions contemplated by this Agreement; (c) the Company has been advised that the Agent and the Agent Representatives are engaged in a broad range of transactions which may involve interests that differ from those of the Company and that the Agent and the Agent Representatives have no obligation to disclose any such interests and transactions to the Company by virtue of any fiduciary, advisory or agency relationship, or otherwise; (d) the Company has been advised that the Agent is acting, in respect of any Placement and the transactions contemplated by this Agreement, solely for the benefit of the Agent, and not on behalf of the Company; and (e) the Company and the Company Representatives waive, to the fullest extent permitted by law, any claims that they may have against the Agent or any of the Agent Representatives for breach of fiduciary duty or alleged breach of fiduciary duty in respect of any Placement or any of the transactions contemplated by this Agreement and agree that the Agent and the Agent Representatives shall have no liability (whether direct or indirect, in contract, tort or otherwise) to the Company or any of the Company Representatives in respect of any person asserting any claim of breach of any fiduciary duty on behalf of or in right of the Company or any of the Company Representatives.</w:t>
      </w:r>
    </w:p>
    <w:p>
      <w:pPr>
        <w:spacing w:after="0" w:line="218" w:lineRule="exact"/>
        <w:rPr>
          <w:sz w:val="20"/>
          <w:szCs w:val="20"/>
          <w:color w:val="auto"/>
        </w:rPr>
      </w:pPr>
    </w:p>
    <w:p>
      <w:pPr>
        <w:ind w:left="380" w:right="439" w:firstLine="334"/>
        <w:spacing w:after="0" w:line="272" w:lineRule="auto"/>
        <w:tabs>
          <w:tab w:leader="none" w:pos="911"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Governing Law and Waiver of Jury Trial</w:t>
      </w:r>
      <w:r>
        <w:rPr>
          <w:rFonts w:ascii="Times New Roman" w:cs="Times New Roman" w:eastAsia="Times New Roman" w:hAnsi="Times New Roman"/>
          <w:sz w:val="13"/>
          <w:szCs w:val="13"/>
          <w:color w:val="auto"/>
        </w:rPr>
        <w:t>. This Agreement shall be governed by and construed in accordance with the laws of the State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New York. THE COMPANY (ON ITS OWN BEHALF AND ON BEHALF OF ITS STOCKHOLDERS AND AFFILIATES) HEREBY IRREVOCABLY WAIVES, TO THE FULLEST EXTENT PERMITTED BY APPLICABLE LAW, ANY AND ALL RIGHT TO TRIAL BY JURY IN ANY LEGAL PROCEEDING ARISING OUT OF OR RELATING TO THIS AGREEMENT OR THE TRANSACTIONS CONTEMPLATED HEREBY.</w:t>
      </w:r>
    </w:p>
    <w:p>
      <w:pPr>
        <w:spacing w:after="0" w:line="210" w:lineRule="exact"/>
        <w:rPr>
          <w:rFonts w:ascii="Times New Roman" w:cs="Times New Roman" w:eastAsia="Times New Roman" w:hAnsi="Times New Roman"/>
          <w:sz w:val="13"/>
          <w:szCs w:val="13"/>
          <w:color w:val="auto"/>
        </w:rPr>
      </w:pPr>
    </w:p>
    <w:p>
      <w:pPr>
        <w:jc w:val="both"/>
        <w:ind w:left="380" w:right="439" w:firstLine="334"/>
        <w:spacing w:after="0" w:line="270" w:lineRule="auto"/>
        <w:tabs>
          <w:tab w:leader="none" w:pos="911"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Submission to Jurisdiction, Etc. </w:t>
      </w:r>
      <w:r>
        <w:rPr>
          <w:rFonts w:ascii="Times New Roman" w:cs="Times New Roman" w:eastAsia="Times New Roman" w:hAnsi="Times New Roman"/>
          <w:sz w:val="13"/>
          <w:szCs w:val="13"/>
          <w:color w:val="auto"/>
        </w:rPr>
        <w:t>Each party hereby submits to the exclusive jurisdiction of the U.S. federal and New York state courts sitting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 the Borough of Manhattan,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spacing w:after="0" w:line="47" w:lineRule="exact"/>
        <w:rPr>
          <w:rFonts w:ascii="Times New Roman" w:cs="Times New Roman" w:eastAsia="Times New Roman" w:hAnsi="Times New Roman"/>
          <w:sz w:val="13"/>
          <w:szCs w:val="13"/>
          <w:color w:val="auto"/>
        </w:rPr>
      </w:pPr>
    </w:p>
    <w:p>
      <w:pPr>
        <w:ind w:left="380" w:right="399" w:firstLine="334"/>
        <w:spacing w:after="0" w:line="261" w:lineRule="auto"/>
        <w:tabs>
          <w:tab w:leader="none" w:pos="911"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Recognition of U.S. Special Resolutions Regimes</w:t>
      </w:r>
      <w:r>
        <w:rPr>
          <w:rFonts w:ascii="Times New Roman" w:cs="Times New Roman" w:eastAsia="Times New Roman" w:hAnsi="Times New Roman"/>
          <w:sz w:val="13"/>
          <w:szCs w:val="13"/>
          <w:color w:val="auto"/>
        </w:rPr>
        <w:t>. In the event that the Agent is a Covered Entity (as defined below) and becomes subject to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the Agent is a Covered Entity (as defined below) and the Agent or a BHC Act Affiliate (as defined below)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 For purposes of this Agreement, (A) “</w:t>
      </w:r>
      <w:r>
        <w:rPr>
          <w:rFonts w:ascii="Times New Roman" w:cs="Times New Roman" w:eastAsia="Times New Roman" w:hAnsi="Times New Roman"/>
          <w:sz w:val="13"/>
          <w:szCs w:val="13"/>
          <w:b w:val="1"/>
          <w:bCs w:val="1"/>
          <w:i w:val="1"/>
          <w:iCs w:val="1"/>
          <w:color w:val="auto"/>
        </w:rPr>
        <w:t>BHC Act Affiliate</w:t>
      </w:r>
      <w:r>
        <w:rPr>
          <w:rFonts w:ascii="Times New Roman" w:cs="Times New Roman" w:eastAsia="Times New Roman" w:hAnsi="Times New Roman"/>
          <w:sz w:val="13"/>
          <w:szCs w:val="13"/>
          <w:color w:val="auto"/>
        </w:rPr>
        <w:t>” has the meaning assigned to the term “affiliate” in, and shall be interpreted in accordance with, 12 U.S.C. § 1841(k); (B) “</w:t>
      </w:r>
      <w:r>
        <w:rPr>
          <w:rFonts w:ascii="Times New Roman" w:cs="Times New Roman" w:eastAsia="Times New Roman" w:hAnsi="Times New Roman"/>
          <w:sz w:val="13"/>
          <w:szCs w:val="13"/>
          <w:b w:val="1"/>
          <w:bCs w:val="1"/>
          <w:i w:val="1"/>
          <w:iCs w:val="1"/>
          <w:color w:val="auto"/>
        </w:rPr>
        <w:t>Covered Entity</w:t>
      </w:r>
      <w:r>
        <w:rPr>
          <w:rFonts w:ascii="Times New Roman" w:cs="Times New Roman" w:eastAsia="Times New Roman" w:hAnsi="Times New Roman"/>
          <w:sz w:val="13"/>
          <w:szCs w:val="13"/>
          <w:color w:val="auto"/>
        </w:rPr>
        <w:t>” means any of the following: (i) a “covered entity” as that term is defined in, and interpreted in accordance with, 12 C.F.R. § 252.82(b); (ii) a “covered bank” as that term is defined in, and interpreted in accordance with, 12 C.F.R.</w:t>
      </w:r>
    </w:p>
    <w:p>
      <w:pPr>
        <w:spacing w:after="0" w:line="5" w:lineRule="exact"/>
        <w:rPr>
          <w:rFonts w:ascii="Times New Roman" w:cs="Times New Roman" w:eastAsia="Times New Roman" w:hAnsi="Times New Roman"/>
          <w:sz w:val="13"/>
          <w:szCs w:val="13"/>
          <w:color w:val="auto"/>
        </w:rPr>
      </w:pPr>
    </w:p>
    <w:p>
      <w:pPr>
        <w:ind w:left="380" w:right="439" w:firstLine="5"/>
        <w:spacing w:after="0" w:line="265" w:lineRule="auto"/>
        <w:tabs>
          <w:tab w:leader="none" w:pos="481"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47.3(b); or (iii) a “covered FSI” as that term is defined in, and interpreted in accordance with, 12 C.F.R. § 382.2(b); (C) “</w:t>
      </w:r>
      <w:r>
        <w:rPr>
          <w:rFonts w:ascii="Times New Roman" w:cs="Times New Roman" w:eastAsia="Times New Roman" w:hAnsi="Times New Roman"/>
          <w:sz w:val="13"/>
          <w:szCs w:val="13"/>
          <w:b w:val="1"/>
          <w:bCs w:val="1"/>
          <w:i w:val="1"/>
          <w:iCs w:val="1"/>
          <w:color w:val="auto"/>
        </w:rPr>
        <w:t>Default Right</w:t>
      </w:r>
      <w:r>
        <w:rPr>
          <w:rFonts w:ascii="Times New Roman" w:cs="Times New Roman" w:eastAsia="Times New Roman" w:hAnsi="Times New Roman"/>
          <w:sz w:val="13"/>
          <w:szCs w:val="13"/>
          <w:color w:val="auto"/>
        </w:rPr>
        <w:t>” has the meaning assigned to that term in, and shall be interpreted in accordance with, 12 C.F.R. §§ 252.81, 47.2 or 382.1, as applicable; and (D) “</w:t>
      </w:r>
      <w:r>
        <w:rPr>
          <w:rFonts w:ascii="Times New Roman" w:cs="Times New Roman" w:eastAsia="Times New Roman" w:hAnsi="Times New Roman"/>
          <w:sz w:val="13"/>
          <w:szCs w:val="13"/>
          <w:b w:val="1"/>
          <w:bCs w:val="1"/>
          <w:i w:val="1"/>
          <w:iCs w:val="1"/>
          <w:color w:val="auto"/>
        </w:rPr>
        <w:t>U.S. Special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Resolution Regime</w:t>
      </w:r>
      <w:r>
        <w:rPr>
          <w:rFonts w:ascii="Times New Roman" w:cs="Times New Roman" w:eastAsia="Times New Roman" w:hAnsi="Times New Roman"/>
          <w:sz w:val="13"/>
          <w:szCs w:val="13"/>
          <w:color w:val="auto"/>
        </w:rPr>
        <w:t>” means each of (i) the Federal Deposit Insurance Act and the regulations promulgated thereunder and (ii) Title II of the Dodd-Frank</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Wall Street Reform and Consumer Protection Act and the regulations promulgated thereunder.</w:t>
      </w:r>
    </w:p>
    <w:p>
      <w:pPr>
        <w:spacing w:after="0" w:line="50" w:lineRule="exact"/>
        <w:rPr>
          <w:rFonts w:ascii="Times New Roman" w:cs="Times New Roman" w:eastAsia="Times New Roman" w:hAnsi="Times New Roman"/>
          <w:sz w:val="13"/>
          <w:szCs w:val="13"/>
          <w:color w:val="auto"/>
        </w:rPr>
      </w:pPr>
    </w:p>
    <w:p>
      <w:pPr>
        <w:ind w:left="380" w:right="699" w:firstLine="334"/>
        <w:spacing w:after="0" w:line="304" w:lineRule="auto"/>
        <w:tabs>
          <w:tab w:leader="none" w:pos="911"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Counterparts</w:t>
      </w:r>
      <w:r>
        <w:rPr>
          <w:rFonts w:ascii="Times New Roman" w:cs="Times New Roman" w:eastAsia="Times New Roman" w:hAnsi="Times New Roman"/>
          <w:sz w:val="13"/>
          <w:szCs w:val="13"/>
          <w:color w:val="auto"/>
        </w:rPr>
        <w:t>. This Agreement may be executed in one or more counterparts, each of which shall be deemed an original, and all of which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together shall constitute one and the same instrument.</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8" w:right="1440" w:bottom="1440" w:gutter="0" w:footer="0" w:header="0"/>
        </w:sectPr>
      </w:pPr>
    </w:p>
    <w:bookmarkStart w:id="82" w:name="page83"/>
    <w:bookmarkEnd w:id="82"/>
    <w:p>
      <w:pPr>
        <w:ind w:left="380" w:right="439" w:firstLine="334"/>
        <w:spacing w:after="0" w:line="274" w:lineRule="auto"/>
        <w:tabs>
          <w:tab w:leader="none" w:pos="911"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Construction. </w:t>
      </w:r>
      <w:r>
        <w:rPr>
          <w:rFonts w:ascii="Times New Roman" w:cs="Times New Roman" w:eastAsia="Times New Roman" w:hAnsi="Times New Roman"/>
          <w:sz w:val="13"/>
          <w:szCs w:val="13"/>
          <w:color w:val="auto"/>
        </w:rPr>
        <w:t>The section and exhibit headings herein are for convenience only and shall not affect the construction hereof. References herein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Follows]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4" w:right="1440" w:bottom="1440" w:gutter="0" w:footer="0" w:header="0"/>
        </w:sectPr>
      </w:pPr>
    </w:p>
    <w:bookmarkStart w:id="83" w:name="page84"/>
    <w:bookmarkEnd w:id="83"/>
    <w:p>
      <w:pPr>
        <w:ind w:left="380" w:right="919"/>
        <w:spacing w:after="0" w:line="29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Please sign and return to the Company the enclosed duplicates of this letter whereupon this letter will become a binding agreement between the Company and the Agent in accordance with its terms.</w:t>
      </w:r>
    </w:p>
    <w:p>
      <w:pPr>
        <w:spacing w:after="0" w:line="1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b w:val="1"/>
          <w:bCs w:val="1"/>
          <w:color w:val="auto"/>
        </w:rPr>
        <w:t>PLUS THERAPEUTICS, INC.</w:t>
      </w:r>
    </w:p>
    <w:p>
      <w:pPr>
        <w:spacing w:after="0" w:line="19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3175</wp:posOffset>
            </wp:positionV>
            <wp:extent cx="181419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1814195" cy="6350"/>
                    </a:xfrm>
                    <a:prstGeom prst="rect">
                      <a:avLst/>
                    </a:prstGeom>
                    <a:noFill/>
                  </pic:spPr>
                </pic:pic>
              </a:graphicData>
            </a:graphic>
          </wp:anchor>
        </w:drawing>
      </w:r>
    </w:p>
    <w:p>
      <w:pPr>
        <w:spacing w:after="0" w:line="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Name: Andrew Sims</w:t>
      </w:r>
    </w:p>
    <w:p>
      <w:pPr>
        <w:spacing w:after="0" w:line="12" w:lineRule="exact"/>
        <w:rPr>
          <w:sz w:val="20"/>
          <w:szCs w:val="20"/>
          <w:color w:val="auto"/>
        </w:rPr>
      </w:pPr>
    </w:p>
    <w:p>
      <w:pPr>
        <w:ind w:left="5340"/>
        <w:spacing w:after="0"/>
        <w:tabs>
          <w:tab w:leader="none" w:pos="5740" w:val="left"/>
        </w:tabs>
        <w:rPr>
          <w:sz w:val="20"/>
          <w:szCs w:val="20"/>
          <w:color w:val="auto"/>
        </w:rPr>
      </w:pPr>
      <w:r>
        <w:rPr>
          <w:rFonts w:ascii="Times New Roman" w:cs="Times New Roman" w:eastAsia="Times New Roman" w:hAnsi="Times New Roman"/>
          <w:sz w:val="13"/>
          <w:szCs w:val="13"/>
          <w:color w:val="auto"/>
        </w:rPr>
        <w:t>Title:</w:t>
        <w:tab/>
        <w:t>Vice President &amp; Chief Financial Officer</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Confirmed as of the date first above mentioned:</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CANACCORD GENUITY LLC</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3175</wp:posOffset>
            </wp:positionV>
            <wp:extent cx="179514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1795145" cy="6350"/>
                    </a:xfrm>
                    <a:prstGeom prst="rect">
                      <a:avLst/>
                    </a:prstGeom>
                    <a:noFill/>
                  </pic:spPr>
                </pic:pic>
              </a:graphicData>
            </a:graphic>
          </wp:anchor>
        </w:drawing>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Title: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Equity Distribution Agreement]</w:t>
      </w:r>
    </w:p>
    <w:p>
      <w:pPr>
        <w:sectPr>
          <w:pgSz w:w="11900" w:h="16838" w:orient="portrait"/>
          <w:cols w:equalWidth="0" w:num="1">
            <w:col w:w="9019"/>
          </w:cols>
          <w:pgMar w:left="1440" w:top="238"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SCHEDULE 1</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OF PLACEMENT NOTICE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Via Email Only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 Facsimile / No Voicemail)</w:t>
      </w:r>
    </w:p>
    <w:p>
      <w:pPr>
        <w:sectPr>
          <w:pgSz w:w="11900" w:h="16838" w:orient="portrait"/>
          <w:cols w:equalWidth="0" w:num="1">
            <w:col w:w="9019"/>
          </w:cols>
          <w:pgMar w:left="1440" w:top="234" w:right="1440" w:bottom="1440" w:gutter="0" w:footer="0" w:header="0"/>
        </w:sectPr>
      </w:pP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From: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Plus Therapeutics, Inc.</w:t>
      </w:r>
    </w:p>
    <w:p>
      <w:pPr>
        <w:spacing w:after="0" w:line="103" w:lineRule="exact"/>
        <w:rPr>
          <w:sz w:val="20"/>
          <w:szCs w:val="20"/>
          <w:color w:val="auto"/>
        </w:rPr>
      </w:pPr>
    </w:p>
    <w:p>
      <w:pPr>
        <w:sectPr>
          <w:pgSz w:w="11900" w:h="16838" w:orient="portrait"/>
          <w:cols w:equalWidth="0" w:num="2">
            <w:col w:w="720" w:space="560"/>
            <w:col w:w="7739"/>
          </w:cols>
          <w:pgMar w:left="1440" w:top="234" w:right="1440"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2"/>
          <w:szCs w:val="12"/>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Canaccord Genuity LLC</w:t>
      </w:r>
    </w:p>
    <w:p>
      <w:pPr>
        <w:spacing w:after="0" w:line="103" w:lineRule="exact"/>
        <w:rPr>
          <w:sz w:val="20"/>
          <w:szCs w:val="20"/>
          <w:color w:val="auto"/>
        </w:rPr>
      </w:pPr>
    </w:p>
    <w:p>
      <w:pPr>
        <w:sectPr>
          <w:pgSz w:w="11900" w:h="16838" w:orient="portrait"/>
          <w:cols w:equalWidth="0" w:num="2">
            <w:col w:w="560" w:space="720"/>
            <w:col w:w="7739"/>
          </w:cols>
          <w:pgMar w:left="1440" w:top="234" w:right="1440" w:bottom="1440" w:gutter="0" w:footer="0" w:header="0"/>
          <w:type w:val="continuous"/>
        </w:sectPr>
      </w:pPr>
    </w:p>
    <w:p>
      <w:pPr>
        <w:jc w:val="center"/>
        <w:ind w:left="380"/>
        <w:spacing w:after="0"/>
        <w:rPr>
          <w:sz w:val="20"/>
          <w:szCs w:val="20"/>
          <w:color w:val="auto"/>
        </w:rPr>
      </w:pPr>
      <w:r>
        <w:rPr>
          <w:rFonts w:ascii="Times New Roman" w:cs="Times New Roman" w:eastAsia="Times New Roman" w:hAnsi="Times New Roman"/>
          <w:sz w:val="13"/>
          <w:szCs w:val="13"/>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PSTVATM@cgf.com</w:t>
      </w:r>
    </w:p>
    <w:p>
      <w:pPr>
        <w:spacing w:after="0" w:line="103" w:lineRule="exact"/>
        <w:rPr>
          <w:sz w:val="20"/>
          <w:szCs w:val="20"/>
          <w:color w:val="auto"/>
        </w:rPr>
      </w:pPr>
    </w:p>
    <w:p>
      <w:pPr>
        <w:sectPr>
          <w:pgSz w:w="11900" w:h="16838" w:orient="portrait"/>
          <w:cols w:equalWidth="0" w:num="2">
            <w:col w:w="940" w:space="340"/>
            <w:col w:w="7739"/>
          </w:cols>
          <w:pgMar w:left="1440" w:top="234" w:right="1440"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            , 20[__]</w:t>
      </w:r>
    </w:p>
    <w:p>
      <w:pPr>
        <w:spacing w:after="0" w:line="103" w:lineRule="exact"/>
        <w:rPr>
          <w:sz w:val="20"/>
          <w:szCs w:val="20"/>
          <w:color w:val="auto"/>
        </w:rPr>
      </w:pPr>
    </w:p>
    <w:p>
      <w:pPr>
        <w:sectPr>
          <w:pgSz w:w="11900" w:h="16838" w:orient="portrait"/>
          <w:cols w:equalWidth="0" w:num="2">
            <w:col w:w="680" w:space="600"/>
            <w:col w:w="7739"/>
          </w:cols>
          <w:pgMar w:left="1440" w:top="234" w:right="1440"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3"/>
          <w:szCs w:val="13"/>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Equity Distribution Agreement – Placement Notice</w:t>
      </w:r>
    </w:p>
    <w:p>
      <w:pPr>
        <w:spacing w:after="0" w:line="174" w:lineRule="exact"/>
        <w:rPr>
          <w:sz w:val="20"/>
          <w:szCs w:val="20"/>
          <w:color w:val="auto"/>
        </w:rPr>
      </w:pPr>
    </w:p>
    <w:p>
      <w:pPr>
        <w:sectPr>
          <w:pgSz w:w="11900" w:h="16838" w:orient="portrait"/>
          <w:cols w:equalWidth="0" w:num="2">
            <w:col w:w="820" w:space="460"/>
            <w:col w:w="7739"/>
          </w:cols>
          <w:pgMar w:left="1440" w:top="234" w:right="1440"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3"/>
          <w:szCs w:val="13"/>
          <w:color w:val="auto"/>
        </w:rPr>
        <w:t>Ladies / Gentlemen:</w:t>
      </w:r>
    </w:p>
    <w:p>
      <w:pPr>
        <w:spacing w:after="0" w:line="93" w:lineRule="exact"/>
        <w:rPr>
          <w:sz w:val="20"/>
          <w:szCs w:val="20"/>
          <w:color w:val="auto"/>
        </w:rPr>
      </w:pPr>
    </w:p>
    <w:p>
      <w:pPr>
        <w:ind w:left="380" w:right="439"/>
        <w:spacing w:after="0" w:line="272" w:lineRule="auto"/>
        <w:rPr>
          <w:sz w:val="20"/>
          <w:szCs w:val="20"/>
          <w:color w:val="auto"/>
        </w:rPr>
      </w:pPr>
      <w:r>
        <w:rPr>
          <w:rFonts w:ascii="Times New Roman" w:cs="Times New Roman" w:eastAsia="Times New Roman" w:hAnsi="Times New Roman"/>
          <w:sz w:val="13"/>
          <w:szCs w:val="13"/>
          <w:color w:val="auto"/>
        </w:rPr>
        <w:t>Pursuant to the terms and subject to the conditions contained in the Equity Distribution Agreement between Plus Therapeutics, Inc., a Delaware corporation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Canaccord Genuity LLC (the “</w:t>
      </w:r>
      <w:r>
        <w:rPr>
          <w:rFonts w:ascii="Times New Roman" w:cs="Times New Roman" w:eastAsia="Times New Roman" w:hAnsi="Times New Roman"/>
          <w:sz w:val="13"/>
          <w:szCs w:val="13"/>
          <w:b w:val="1"/>
          <w:bCs w:val="1"/>
          <w:color w:val="auto"/>
        </w:rPr>
        <w:t>Agent</w:t>
      </w:r>
      <w:r>
        <w:rPr>
          <w:rFonts w:ascii="Times New Roman" w:cs="Times New Roman" w:eastAsia="Times New Roman" w:hAnsi="Times New Roman"/>
          <w:sz w:val="13"/>
          <w:szCs w:val="13"/>
          <w:color w:val="auto"/>
        </w:rPr>
        <w:t>”) dated [__], 2026 (the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the Company hereby requests that Agent sell up to [__] shares of the Company’s common stock, $0.001 par value per share, at a minimum market price of $[__] per share. Sales should begin on the date of this Placement Notice and shall continue until [Date] / [all shares are sold].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Schedule 1-1</w:t>
      </w:r>
    </w:p>
    <w:p>
      <w:pPr>
        <w:sectPr>
          <w:pgSz w:w="11900" w:h="16838" w:orient="portrait"/>
          <w:cols w:equalWidth="0" w:num="1">
            <w:col w:w="9019"/>
          </w:cols>
          <w:pgMar w:left="1440" w:top="234" w:right="1440"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SCHEDULE 2</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NOTICE PARTIES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Plus Therapeutics, Inc.</w:t>
      </w:r>
    </w:p>
    <w:p>
      <w:pPr>
        <w:spacing w:after="0" w:line="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Andrew Sims</w:t>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asims@plustherapeutics.com</w:t>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Kara Davis</w:t>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kdavis@plustherapeutics.com</w:t>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Canaccord Genuity LLC</w:t>
      </w:r>
    </w:p>
    <w:p>
      <w:pPr>
        <w:spacing w:after="0" w:line="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PSTVATM@cgf.com</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Schedule 2-1</w:t>
      </w:r>
    </w:p>
    <w:p>
      <w:pPr>
        <w:sectPr>
          <w:pgSz w:w="11900" w:h="16838" w:orient="portrait"/>
          <w:cols w:equalWidth="0" w:num="1">
            <w:col w:w="9019"/>
          </w:cols>
          <w:pgMar w:left="1440" w:top="234"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SCHEDULE 3</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OF REPRESENTATION CERTIFICATE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 SECTION 3(Q) OF THE AGREEMENT</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[Date]</w:t>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CANACCORD GENUITY LLC</w:t>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1 Post Office Square,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color w:val="auto"/>
        </w:rPr>
        <w:t xml:space="preserve"> Floor</w:t>
      </w:r>
    </w:p>
    <w:p>
      <w:pPr>
        <w:ind w:left="380"/>
        <w:spacing w:after="0"/>
        <w:rPr>
          <w:sz w:val="20"/>
          <w:szCs w:val="20"/>
          <w:color w:val="auto"/>
        </w:rPr>
      </w:pPr>
      <w:r>
        <w:rPr>
          <w:rFonts w:ascii="Times New Roman" w:cs="Times New Roman" w:eastAsia="Times New Roman" w:hAnsi="Times New Roman"/>
          <w:sz w:val="13"/>
          <w:szCs w:val="13"/>
          <w:color w:val="auto"/>
        </w:rPr>
        <w:t>Boston, Massachusetts 02109</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Dear Sirs:</w:t>
      </w:r>
    </w:p>
    <w:p>
      <w:pPr>
        <w:spacing w:after="0" w:line="93" w:lineRule="exact"/>
        <w:rPr>
          <w:sz w:val="20"/>
          <w:szCs w:val="20"/>
          <w:color w:val="auto"/>
        </w:rPr>
      </w:pPr>
    </w:p>
    <w:p>
      <w:pPr>
        <w:ind w:left="380" w:right="499"/>
        <w:spacing w:after="0" w:line="272" w:lineRule="auto"/>
        <w:rPr>
          <w:sz w:val="20"/>
          <w:szCs w:val="20"/>
          <w:color w:val="auto"/>
        </w:rPr>
      </w:pPr>
      <w:r>
        <w:rPr>
          <w:rFonts w:ascii="Times New Roman" w:cs="Times New Roman" w:eastAsia="Times New Roman" w:hAnsi="Times New Roman"/>
          <w:sz w:val="13"/>
          <w:szCs w:val="13"/>
          <w:color w:val="auto"/>
        </w:rPr>
        <w:t>The undersigned, the duly qualified and elected chief executive officer and chief financial (or chief accounting) officer, of Plus Therapeutics, 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do hereby certify in such capacities and on behalf of the Company, pursuant to </w:t>
      </w:r>
      <w:r>
        <w:rPr>
          <w:rFonts w:ascii="Times New Roman" w:cs="Times New Roman" w:eastAsia="Times New Roman" w:hAnsi="Times New Roman"/>
          <w:sz w:val="13"/>
          <w:szCs w:val="13"/>
          <w:u w:val="single" w:color="auto"/>
          <w:color w:val="auto"/>
        </w:rPr>
        <w:t>Section 3(q)</w:t>
      </w:r>
      <w:r>
        <w:rPr>
          <w:rFonts w:ascii="Times New Roman" w:cs="Times New Roman" w:eastAsia="Times New Roman" w:hAnsi="Times New Roman"/>
          <w:sz w:val="13"/>
          <w:szCs w:val="13"/>
          <w:color w:val="auto"/>
        </w:rPr>
        <w:t xml:space="preserve"> of the Equity Distribution Agreement, dated [__], 2026 (the “</w:t>
      </w:r>
      <w:r>
        <w:rPr>
          <w:rFonts w:ascii="Times New Roman" w:cs="Times New Roman" w:eastAsia="Times New Roman" w:hAnsi="Times New Roman"/>
          <w:sz w:val="13"/>
          <w:szCs w:val="13"/>
          <w:b w:val="1"/>
          <w:bCs w:val="1"/>
          <w:color w:val="auto"/>
        </w:rPr>
        <w:t>Equity Distribution Agreement</w:t>
      </w:r>
      <w:r>
        <w:rPr>
          <w:rFonts w:ascii="Times New Roman" w:cs="Times New Roman" w:eastAsia="Times New Roman" w:hAnsi="Times New Roman"/>
          <w:sz w:val="13"/>
          <w:szCs w:val="13"/>
          <w:color w:val="auto"/>
        </w:rPr>
        <w:t>”), by and between the Company and Canaccord Genuity LLC, that to the best of their knowledge:</w:t>
      </w:r>
    </w:p>
    <w:p>
      <w:pPr>
        <w:spacing w:after="0" w:line="49" w:lineRule="exact"/>
        <w:rPr>
          <w:sz w:val="20"/>
          <w:szCs w:val="20"/>
          <w:color w:val="auto"/>
        </w:rPr>
      </w:pPr>
    </w:p>
    <w:p>
      <w:pPr>
        <w:ind w:left="380" w:right="419" w:firstLine="1076"/>
        <w:spacing w:after="0" w:line="265" w:lineRule="auto"/>
        <w:tabs>
          <w:tab w:leader="none" w:pos="1611"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representations and warranties of the Company in Section 1 of the Equity Distribution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56" w:lineRule="exact"/>
        <w:rPr>
          <w:rFonts w:ascii="Times New Roman" w:cs="Times New Roman" w:eastAsia="Times New Roman" w:hAnsi="Times New Roman"/>
          <w:sz w:val="13"/>
          <w:szCs w:val="13"/>
          <w:color w:val="auto"/>
        </w:rPr>
      </w:pPr>
    </w:p>
    <w:p>
      <w:pPr>
        <w:ind w:left="380" w:right="559" w:firstLine="1076"/>
        <w:spacing w:after="0" w:line="298" w:lineRule="auto"/>
        <w:tabs>
          <w:tab w:leader="none" w:pos="1649"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complied with all agreements and satisfied all conditions on its part to be performed or satisfied pursuant to the Equity Distribution Agreement at or prior to the date hereof.</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Capitalized terms used herein without definition shall have the meanings given to such terms in the Equity Distribution Agreement.</w:t>
      </w:r>
    </w:p>
    <w:p>
      <w:pPr>
        <w:spacing w:after="0" w:line="19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15875</wp:posOffset>
            </wp:positionV>
            <wp:extent cx="181419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1814195" cy="6350"/>
                    </a:xfrm>
                    <a:prstGeom prst="rect">
                      <a:avLst/>
                    </a:prstGeom>
                    <a:noFill/>
                  </pic:spPr>
                </pic:pic>
              </a:graphicData>
            </a:graphic>
          </wp:anchor>
        </w:drawing>
      </w:r>
    </w:p>
    <w:p>
      <w:pPr>
        <w:spacing w:after="0" w:line="1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Name:</w:t>
      </w:r>
    </w:p>
    <w:p>
      <w:pPr>
        <w:spacing w:after="0" w:line="24" w:lineRule="exact"/>
        <w:rPr>
          <w:sz w:val="20"/>
          <w:szCs w:val="20"/>
          <w:color w:val="auto"/>
        </w:rPr>
      </w:pPr>
    </w:p>
    <w:p>
      <w:pPr>
        <w:ind w:left="5340"/>
        <w:spacing w:after="0"/>
        <w:tabs>
          <w:tab w:leader="none" w:pos="574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pacing w:after="0" w:line="16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15875</wp:posOffset>
            </wp:positionV>
            <wp:extent cx="181419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1814195" cy="6350"/>
                    </a:xfrm>
                    <a:prstGeom prst="rect">
                      <a:avLst/>
                    </a:prstGeom>
                    <a:noFill/>
                  </pic:spPr>
                </pic:pic>
              </a:graphicData>
            </a:graphic>
          </wp:anchor>
        </w:drawing>
      </w:r>
    </w:p>
    <w:p>
      <w:pPr>
        <w:spacing w:after="0" w:line="1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Name:</w:t>
      </w:r>
    </w:p>
    <w:p>
      <w:pPr>
        <w:spacing w:after="0" w:line="24" w:lineRule="exact"/>
        <w:rPr>
          <w:sz w:val="20"/>
          <w:szCs w:val="20"/>
          <w:color w:val="auto"/>
        </w:rPr>
      </w:pPr>
    </w:p>
    <w:p>
      <w:pPr>
        <w:ind w:left="5340"/>
        <w:spacing w:after="0"/>
        <w:tabs>
          <w:tab w:leader="none" w:pos="5740" w:val="left"/>
        </w:tabs>
        <w:rPr>
          <w:sz w:val="20"/>
          <w:szCs w:val="20"/>
          <w:color w:val="auto"/>
        </w:rPr>
      </w:pPr>
      <w:r>
        <w:rPr>
          <w:rFonts w:ascii="Times New Roman" w:cs="Times New Roman" w:eastAsia="Times New Roman" w:hAnsi="Times New Roman"/>
          <w:sz w:val="13"/>
          <w:szCs w:val="13"/>
          <w:color w:val="auto"/>
        </w:rPr>
        <w:t>Title:</w:t>
        <w:tab/>
        <w:t>Chief Financial Officer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Schedule 3-1</w:t>
      </w:r>
    </w:p>
    <w:p>
      <w:pPr>
        <w:sectPr>
          <w:pgSz w:w="11900" w:h="16838" w:orient="portrait"/>
          <w:cols w:equalWidth="0" w:num="1">
            <w:col w:w="9019"/>
          </w:cols>
          <w:pgMar w:left="1440" w:top="234"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SCHEDULE 4</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SUBSIDIARIES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CNSide Diagnostics, LLC</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Schedule 4-1</w:t>
      </w:r>
    </w:p>
    <w:p>
      <w:pPr>
        <w:sectPr>
          <w:pgSz w:w="11900" w:h="16838" w:orient="portrait"/>
          <w:cols w:equalWidth="0" w:num="1">
            <w:col w:w="9019"/>
          </w:cols>
          <w:pgMar w:left="1440" w:top="234" w:right="1440" w:bottom="1440" w:gutter="0" w:footer="0" w:header="0"/>
        </w:sectPr>
      </w:pPr>
    </w:p>
    <w:bookmarkStart w:id="88" w:name="page89"/>
    <w:bookmarkEnd w:id="88"/>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949960</wp:posOffset>
            </wp:positionH>
            <wp:positionV relativeFrom="paragraph">
              <wp:posOffset>133985</wp:posOffset>
            </wp:positionV>
            <wp:extent cx="3827145" cy="410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3827145" cy="41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June 1, 2026</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Plus Therapeutics, Inc.</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6420 Levit Green Boulevard, Suite 310</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Houston, Texas 77021</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We have acted as special counsel to Plus Therapeutics,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in connection with a Registration Statement on</w:t>
      </w:r>
    </w:p>
    <w:p>
      <w:pPr>
        <w:spacing w:after="0" w:line="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Form S-3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filed on June 1, 2026 by the Company with the U.S. Securities and Exchange Commission under the Securities</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Act of 1933, as amended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The Company has provided us with a prospectus (the “</w:t>
      </w:r>
      <w:r>
        <w:rPr>
          <w:rFonts w:ascii="Times New Roman" w:cs="Times New Roman" w:eastAsia="Times New Roman" w:hAnsi="Times New Roman"/>
          <w:sz w:val="13"/>
          <w:szCs w:val="13"/>
          <w:b w:val="1"/>
          <w:bCs w:val="1"/>
          <w:i w:val="1"/>
          <w:iCs w:val="1"/>
          <w:color w:val="auto"/>
        </w:rPr>
        <w:t>Prospectus</w:t>
      </w:r>
      <w:r>
        <w:rPr>
          <w:rFonts w:ascii="Times New Roman" w:cs="Times New Roman" w:eastAsia="Times New Roman" w:hAnsi="Times New Roman"/>
          <w:sz w:val="13"/>
          <w:szCs w:val="13"/>
          <w:color w:val="auto"/>
        </w:rPr>
        <w:t>”) which forms part of the</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Registration Statement. The Prospectus may be amended from time to time in connection with one or more post-effective amendments to the</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Registration Statement, and the Prospectus provides that it will be supplemented in the future by one or more prospectus supplements (each, a</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Prospectus Supplement</w:t>
      </w:r>
      <w:r>
        <w:rPr>
          <w:rFonts w:ascii="Times New Roman" w:cs="Times New Roman" w:eastAsia="Times New Roman" w:hAnsi="Times New Roman"/>
          <w:sz w:val="13"/>
          <w:szCs w:val="13"/>
          <w:color w:val="auto"/>
        </w:rPr>
        <w:t>”). The Registration Statement, as amended from time to time, including the Prospectus, as supplemented from time to time by</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one or more Prospectus Supplements, will provide for the registration by the Company of:</w:t>
      </w:r>
    </w:p>
    <w:p>
      <w:pPr>
        <w:spacing w:after="0" w:line="87" w:lineRule="exact"/>
        <w:rPr>
          <w:sz w:val="20"/>
          <w:szCs w:val="20"/>
          <w:color w:val="auto"/>
        </w:rPr>
      </w:pPr>
    </w:p>
    <w:p>
      <w:pPr>
        <w:ind w:left="1120" w:hanging="412"/>
        <w:spacing w:after="0"/>
        <w:tabs>
          <w:tab w:leader="none" w:pos="11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common stock, par value $0.001 per share, of the Company (the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w:t>
      </w:r>
    </w:p>
    <w:p>
      <w:pPr>
        <w:spacing w:after="0" w:line="102" w:lineRule="exact"/>
        <w:rPr>
          <w:rFonts w:ascii="Times New Roman" w:cs="Times New Roman" w:eastAsia="Times New Roman" w:hAnsi="Times New Roman"/>
          <w:sz w:val="13"/>
          <w:szCs w:val="13"/>
          <w:color w:val="auto"/>
        </w:rPr>
      </w:pPr>
    </w:p>
    <w:p>
      <w:pPr>
        <w:ind w:left="1120" w:hanging="412"/>
        <w:spacing w:after="0"/>
        <w:tabs>
          <w:tab w:leader="none" w:pos="11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preferred stock, par value $0.001 per share, of the Company (the “</w:t>
      </w:r>
      <w:r>
        <w:rPr>
          <w:rFonts w:ascii="Times New Roman" w:cs="Times New Roman" w:eastAsia="Times New Roman" w:hAnsi="Times New Roman"/>
          <w:sz w:val="13"/>
          <w:szCs w:val="13"/>
          <w:b w:val="1"/>
          <w:bCs w:val="1"/>
          <w:i w:val="1"/>
          <w:iCs w:val="1"/>
          <w:color w:val="auto"/>
        </w:rPr>
        <w:t>Preferred Stock</w:t>
      </w:r>
      <w:r>
        <w:rPr>
          <w:rFonts w:ascii="Times New Roman" w:cs="Times New Roman" w:eastAsia="Times New Roman" w:hAnsi="Times New Roman"/>
          <w:sz w:val="13"/>
          <w:szCs w:val="13"/>
          <w:color w:val="auto"/>
        </w:rPr>
        <w:t>”);</w:t>
      </w:r>
    </w:p>
    <w:p>
      <w:pPr>
        <w:spacing w:after="0" w:line="106" w:lineRule="exact"/>
        <w:rPr>
          <w:rFonts w:ascii="Times New Roman" w:cs="Times New Roman" w:eastAsia="Times New Roman" w:hAnsi="Times New Roman"/>
          <w:sz w:val="13"/>
          <w:szCs w:val="13"/>
          <w:color w:val="auto"/>
        </w:rPr>
      </w:pPr>
    </w:p>
    <w:p>
      <w:pPr>
        <w:ind w:left="1120" w:right="439" w:hanging="412"/>
        <w:spacing w:after="0" w:line="269" w:lineRule="auto"/>
        <w:tabs>
          <w:tab w:leader="none" w:pos="11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warrants to purchase Common Stock, Preferred Stock and/or Debt Securities (as defined below) in one or more series, together with other securities or separately (the “</w:t>
      </w:r>
      <w:r>
        <w:rPr>
          <w:rFonts w:ascii="Times New Roman" w:cs="Times New Roman" w:eastAsia="Times New Roman" w:hAnsi="Times New Roman"/>
          <w:sz w:val="13"/>
          <w:szCs w:val="13"/>
          <w:b w:val="1"/>
          <w:bCs w:val="1"/>
          <w:i w:val="1"/>
          <w:iCs w:val="1"/>
          <w:color w:val="auto"/>
        </w:rPr>
        <w:t>Warrants</w:t>
      </w:r>
      <w:r>
        <w:rPr>
          <w:rFonts w:ascii="Times New Roman" w:cs="Times New Roman" w:eastAsia="Times New Roman" w:hAnsi="Times New Roman"/>
          <w:sz w:val="13"/>
          <w:szCs w:val="13"/>
          <w:color w:val="auto"/>
        </w:rPr>
        <w:t>”), which may be issued under warrant agreements, to be dated on or about the date of the first issuance of the applicable Warrants thereunder, by and between a warrant agent to be selected by the Company (the “</w:t>
      </w:r>
      <w:r>
        <w:rPr>
          <w:rFonts w:ascii="Times New Roman" w:cs="Times New Roman" w:eastAsia="Times New Roman" w:hAnsi="Times New Roman"/>
          <w:sz w:val="13"/>
          <w:szCs w:val="13"/>
          <w:b w:val="1"/>
          <w:bCs w:val="1"/>
          <w:i w:val="1"/>
          <w:iCs w:val="1"/>
          <w:color w:val="auto"/>
        </w:rPr>
        <w:t>Warrant Agent</w:t>
      </w:r>
      <w:r>
        <w:rPr>
          <w:rFonts w:ascii="Times New Roman" w:cs="Times New Roman" w:eastAsia="Times New Roman" w:hAnsi="Times New Roman"/>
          <w:sz w:val="13"/>
          <w:szCs w:val="13"/>
          <w:color w:val="auto"/>
        </w:rPr>
        <w:t>”) and the Company, in the forms to filed as exhibits to a post-effective amendment to the Registration Statement or in a Prospectus Supplement (each, a “</w:t>
      </w:r>
      <w:r>
        <w:rPr>
          <w:rFonts w:ascii="Times New Roman" w:cs="Times New Roman" w:eastAsia="Times New Roman" w:hAnsi="Times New Roman"/>
          <w:sz w:val="13"/>
          <w:szCs w:val="13"/>
          <w:b w:val="1"/>
          <w:bCs w:val="1"/>
          <w:i w:val="1"/>
          <w:iCs w:val="1"/>
          <w:color w:val="auto"/>
        </w:rPr>
        <w:t>Warrant Agreement</w:t>
      </w:r>
      <w:r>
        <w:rPr>
          <w:rFonts w:ascii="Times New Roman" w:cs="Times New Roman" w:eastAsia="Times New Roman" w:hAnsi="Times New Roman"/>
          <w:sz w:val="13"/>
          <w:szCs w:val="13"/>
          <w:color w:val="auto"/>
        </w:rPr>
        <w:t>”);</w:t>
      </w:r>
    </w:p>
    <w:p>
      <w:pPr>
        <w:spacing w:after="0" w:line="60" w:lineRule="exact"/>
        <w:rPr>
          <w:rFonts w:ascii="Times New Roman" w:cs="Times New Roman" w:eastAsia="Times New Roman" w:hAnsi="Times New Roman"/>
          <w:sz w:val="13"/>
          <w:szCs w:val="13"/>
          <w:color w:val="auto"/>
        </w:rPr>
      </w:pPr>
    </w:p>
    <w:p>
      <w:pPr>
        <w:jc w:val="both"/>
        <w:ind w:left="1120" w:right="439" w:hanging="412"/>
        <w:spacing w:after="0" w:line="269" w:lineRule="auto"/>
        <w:tabs>
          <w:tab w:leader="none" w:pos="11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securities, which may be offered as senior, subordinated or junior subordinated and may be convertible into shares of Common Stock (the “</w:t>
      </w:r>
      <w:r>
        <w:rPr>
          <w:rFonts w:ascii="Times New Roman" w:cs="Times New Roman" w:eastAsia="Times New Roman" w:hAnsi="Times New Roman"/>
          <w:sz w:val="13"/>
          <w:szCs w:val="13"/>
          <w:b w:val="1"/>
          <w:bCs w:val="1"/>
          <w:i w:val="1"/>
          <w:iCs w:val="1"/>
          <w:color w:val="auto"/>
        </w:rPr>
        <w:t>Debt Securities</w:t>
      </w:r>
      <w:r>
        <w:rPr>
          <w:rFonts w:ascii="Times New Roman" w:cs="Times New Roman" w:eastAsia="Times New Roman" w:hAnsi="Times New Roman"/>
          <w:sz w:val="13"/>
          <w:szCs w:val="13"/>
          <w:color w:val="auto"/>
        </w:rPr>
        <w:t>”), which may be issued pursuant to a note purchase agreement or an indenture to be dated on or about the date of the first issuance of Debt Securities thereunder, by and between a trustee to be selected by the Company and the Company, in the form filed as an exhibit to a post-effective amendment to the Registration Statement or a Prospectus Supplement, as such note purchase agreement may be supplemented from time to time or as such indenture may be supplemented from time to time;</w:t>
      </w:r>
    </w:p>
    <w:p>
      <w:pPr>
        <w:spacing w:after="0" w:line="56" w:lineRule="exact"/>
        <w:rPr>
          <w:rFonts w:ascii="Times New Roman" w:cs="Times New Roman" w:eastAsia="Times New Roman" w:hAnsi="Times New Roman"/>
          <w:sz w:val="13"/>
          <w:szCs w:val="13"/>
          <w:color w:val="auto"/>
        </w:rPr>
      </w:pPr>
    </w:p>
    <w:p>
      <w:pPr>
        <w:ind w:left="1120" w:right="439" w:hanging="412"/>
        <w:spacing w:after="0" w:line="304" w:lineRule="auto"/>
        <w:tabs>
          <w:tab w:leader="none" w:pos="11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subscription rights to purchase shares of Common Stock, Preferred Stock, Debt Securities and/or other Company securities (the “</w:t>
      </w:r>
      <w:r>
        <w:rPr>
          <w:rFonts w:ascii="Times New Roman" w:cs="Times New Roman" w:eastAsia="Times New Roman" w:hAnsi="Times New Roman"/>
          <w:sz w:val="13"/>
          <w:szCs w:val="13"/>
          <w:b w:val="1"/>
          <w:bCs w:val="1"/>
          <w:i w:val="1"/>
          <w:iCs w:val="1"/>
          <w:color w:val="auto"/>
        </w:rPr>
        <w:t>Rights</w:t>
      </w:r>
      <w:r>
        <w:rPr>
          <w:rFonts w:ascii="Times New Roman" w:cs="Times New Roman" w:eastAsia="Times New Roman" w:hAnsi="Times New Roman"/>
          <w:sz w:val="13"/>
          <w:szCs w:val="13"/>
          <w:color w:val="auto"/>
        </w:rPr>
        <w:t>”), which Rights may be offered separately or together with other Company securities offered pursuant to the Registration Statement; and</w:t>
      </w:r>
    </w:p>
    <w:p>
      <w:pPr>
        <w:spacing w:after="0" w:line="35" w:lineRule="exact"/>
        <w:rPr>
          <w:rFonts w:ascii="Times New Roman" w:cs="Times New Roman" w:eastAsia="Times New Roman" w:hAnsi="Times New Roman"/>
          <w:sz w:val="13"/>
          <w:szCs w:val="13"/>
          <w:color w:val="auto"/>
        </w:rPr>
      </w:pPr>
    </w:p>
    <w:p>
      <w:pPr>
        <w:ind w:left="1120" w:hanging="412"/>
        <w:spacing w:after="0"/>
        <w:tabs>
          <w:tab w:leader="none" w:pos="11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units comprised of one or more of the other securities described in (a)-(e) above in any combination (the “</w:t>
      </w:r>
      <w:r>
        <w:rPr>
          <w:rFonts w:ascii="Times New Roman" w:cs="Times New Roman" w:eastAsia="Times New Roman" w:hAnsi="Times New Roman"/>
          <w:sz w:val="13"/>
          <w:szCs w:val="13"/>
          <w:b w:val="1"/>
          <w:bCs w:val="1"/>
          <w:i w:val="1"/>
          <w:iCs w:val="1"/>
          <w:color w:val="auto"/>
        </w:rPr>
        <w:t>Units</w:t>
      </w:r>
      <w:r>
        <w:rPr>
          <w:rFonts w:ascii="Times New Roman" w:cs="Times New Roman" w:eastAsia="Times New Roman" w:hAnsi="Times New Roman"/>
          <w:sz w:val="13"/>
          <w:szCs w:val="13"/>
          <w:color w:val="auto"/>
        </w:rPr>
        <w:t>”).</w:t>
      </w:r>
    </w:p>
    <w:p>
      <w:pPr>
        <w:spacing w:after="0" w:line="178" w:lineRule="exact"/>
        <w:rPr>
          <w:sz w:val="20"/>
          <w:szCs w:val="20"/>
          <w:color w:val="auto"/>
        </w:rPr>
      </w:pPr>
    </w:p>
    <w:p>
      <w:pPr>
        <w:ind w:left="380" w:right="619"/>
        <w:spacing w:after="0" w:line="278" w:lineRule="auto"/>
        <w:rPr>
          <w:sz w:val="20"/>
          <w:szCs w:val="20"/>
          <w:color w:val="auto"/>
        </w:rPr>
      </w:pPr>
      <w:r>
        <w:rPr>
          <w:rFonts w:ascii="Times New Roman" w:cs="Times New Roman" w:eastAsia="Times New Roman" w:hAnsi="Times New Roman"/>
          <w:sz w:val="13"/>
          <w:szCs w:val="13"/>
          <w:color w:val="auto"/>
        </w:rPr>
        <w:t>The Common Stock, the Preferred Stock, the Warrants, the Debt Securities, the Rights and the Units are collectively referred to herein as the “Securities.” The Securities are being registered for offering and sale from time to time pursuant to Rule 415 under the Securities Act. The aggregate public offering price of the Securities being registered will be $100,000,000.</w:t>
      </w:r>
    </w:p>
    <w:p>
      <w:pPr>
        <w:sectPr>
          <w:pgSz w:w="11900" w:h="16838" w:orient="portrait"/>
          <w:cols w:equalWidth="0" w:num="1">
            <w:col w:w="9019"/>
          </w:cols>
          <w:pgMar w:left="1440" w:top="123" w:right="1440" w:bottom="1440" w:gutter="0" w:footer="0" w:header="0"/>
        </w:sectPr>
      </w:pPr>
    </w:p>
    <w:bookmarkStart w:id="89" w:name="page90"/>
    <w:bookmarkEnd w:id="89"/>
    <w:p>
      <w:pPr>
        <w:ind w:left="380" w:right="579"/>
        <w:spacing w:after="0" w:line="26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We have examined and relied upon minutes of meetings and resolutions of the board of directors of the Company as provided to us by the Company, the certificate of incorporation and bylaws of the Company, each as restated and/or amended to date, and such other documents as we have deemed necessary for purposes of rendering the opinion hereinafter set forth.</w:t>
      </w:r>
    </w:p>
    <w:p>
      <w:pPr>
        <w:spacing w:after="0" w:line="131" w:lineRule="exact"/>
        <w:rPr>
          <w:sz w:val="20"/>
          <w:szCs w:val="20"/>
          <w:color w:val="auto"/>
        </w:rPr>
      </w:pPr>
    </w:p>
    <w:p>
      <w:pPr>
        <w:ind w:left="380" w:right="539"/>
        <w:spacing w:after="0" w:line="272" w:lineRule="auto"/>
        <w:rPr>
          <w:sz w:val="20"/>
          <w:szCs w:val="20"/>
          <w:color w:val="auto"/>
        </w:rPr>
      </w:pPr>
      <w:r>
        <w:rPr>
          <w:rFonts w:ascii="Times New Roman" w:cs="Times New Roman" w:eastAsia="Times New Roman" w:hAnsi="Times New Roman"/>
          <w:sz w:val="13"/>
          <w:szCs w:val="13"/>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130" w:lineRule="exact"/>
        <w:rPr>
          <w:sz w:val="20"/>
          <w:szCs w:val="20"/>
          <w:color w:val="auto"/>
        </w:rPr>
      </w:pPr>
    </w:p>
    <w:p>
      <w:pPr>
        <w:ind w:left="380" w:right="399"/>
        <w:spacing w:after="0" w:line="278" w:lineRule="auto"/>
        <w:rPr>
          <w:sz w:val="20"/>
          <w:szCs w:val="20"/>
          <w:color w:val="auto"/>
        </w:rPr>
      </w:pPr>
      <w:r>
        <w:rPr>
          <w:rFonts w:ascii="Times New Roman" w:cs="Times New Roman" w:eastAsia="Times New Roman" w:hAnsi="Times New Roman"/>
          <w:sz w:val="13"/>
          <w:szCs w:val="13"/>
          <w:color w:val="auto"/>
        </w:rPr>
        <w:t>With respect to our opinion as to the Common Stock, we have assumed that, at the time of issuance and sale, a sufficient number of shares of the Common Stock are authorized and available for issuance and that the consideration for the issuance and sale of the Common Stock (or Preferred Stock or Debt Securities convertible into, or Warrants exercisable for, Common Stock) is in an amount that is not less than the par value of the Common Stock.</w:t>
      </w:r>
    </w:p>
    <w:p>
      <w:pPr>
        <w:spacing w:after="0" w:line="127" w:lineRule="exact"/>
        <w:rPr>
          <w:sz w:val="20"/>
          <w:szCs w:val="20"/>
          <w:color w:val="auto"/>
        </w:rPr>
      </w:pPr>
    </w:p>
    <w:p>
      <w:pPr>
        <w:ind w:left="380" w:right="419"/>
        <w:spacing w:after="0" w:line="263" w:lineRule="auto"/>
        <w:rPr>
          <w:sz w:val="20"/>
          <w:szCs w:val="20"/>
          <w:color w:val="auto"/>
        </w:rPr>
      </w:pPr>
      <w:r>
        <w:rPr>
          <w:rFonts w:ascii="Times New Roman" w:cs="Times New Roman" w:eastAsia="Times New Roman" w:hAnsi="Times New Roman"/>
          <w:sz w:val="13"/>
          <w:szCs w:val="13"/>
          <w:color w:val="auto"/>
        </w:rPr>
        <w:t>With respect to our opinion as to the Preferred Stock, we have assumed that, at the time of issuance and sale, a sufficient number of shares of Preferred Stock are authorized, designated and available for issuance and that the consideration for the issuance and sale of the Preferred Stock (or Debt Securities convertible into, or Warrants exercisable for, Preferred Stock) is in an amount that is not less than the par value of the Preferred Stock. We have also assumed that any Warrants offered under the Registration Statement, and the related Warrant Agreement, will be executed in the forms filed as exhibits to a Prospectus Supplement. We have also assumed that (i) with respect to Securities being issued upon conversion of any Preferred Stock; the applicable convertible Preferred Stock will be duly authorized, validly issued, fully paid and nonassessable; and (ii) with respect to any Securities being issued upon conversion of any Debt Securities or upon exercise of any Warrants, the applicable convertible Debt Securities or exercisable Warrants will be valid and legally binding obligations of the Company, enforceable against the Company in accordance with their respective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39" w:lineRule="exact"/>
        <w:rPr>
          <w:sz w:val="20"/>
          <w:szCs w:val="20"/>
          <w:color w:val="auto"/>
        </w:rPr>
      </w:pPr>
    </w:p>
    <w:p>
      <w:pPr>
        <w:ind w:left="380" w:right="439"/>
        <w:spacing w:after="0" w:line="278" w:lineRule="auto"/>
        <w:rPr>
          <w:sz w:val="20"/>
          <w:szCs w:val="20"/>
          <w:color w:val="auto"/>
        </w:rPr>
      </w:pPr>
      <w:r>
        <w:rPr>
          <w:rFonts w:ascii="Times New Roman" w:cs="Times New Roman" w:eastAsia="Times New Roman" w:hAnsi="Times New Roman"/>
          <w:sz w:val="13"/>
          <w:szCs w:val="13"/>
          <w:color w:val="auto"/>
        </w:rPr>
        <w:t>With respect to our opinion as to the Rights and the Units, we have assumed, that at the time of issuance and sale, there are a sufficient number of Securities available for issuance and that the consideration for the issuance of the particular Securities underlying the sale of the Rights or the Units is in an amount that is not less than the par value of such underlying Securities.</w:t>
      </w:r>
    </w:p>
    <w:p>
      <w:pPr>
        <w:spacing w:after="0" w:line="127" w:lineRule="exact"/>
        <w:rPr>
          <w:sz w:val="20"/>
          <w:szCs w:val="20"/>
          <w:color w:val="auto"/>
        </w:rPr>
      </w:pPr>
    </w:p>
    <w:p>
      <w:pPr>
        <w:ind w:left="380" w:right="499"/>
        <w:spacing w:after="0" w:line="272" w:lineRule="auto"/>
        <w:rPr>
          <w:sz w:val="20"/>
          <w:szCs w:val="20"/>
          <w:color w:val="auto"/>
        </w:rPr>
      </w:pPr>
      <w:r>
        <w:rPr>
          <w:rFonts w:ascii="Times New Roman" w:cs="Times New Roman" w:eastAsia="Times New Roman" w:hAnsi="Times New Roman"/>
          <w:sz w:val="13"/>
          <w:szCs w:val="13"/>
          <w:color w:val="auto"/>
        </w:rPr>
        <w:t>Our opinion herein is expressed solely with respect to the federal securities laws of the United States and the General Corporation Law of the State of Delaware. Our opinion is based on these laws as in effect on the date hereof. We express no opinion as to whether the laws of any other jurisdiction are applicable to the subject matter hereof. We are not rendering any opinion as to compliance with any federal or state law, rule or regulation relating to securities, or to the sale or issuance thereof.</w:t>
      </w:r>
    </w:p>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On the basis of the foregoing and in reliance thereon, and subject to the qualifications herein stated, we are of the opinion that:</w:t>
      </w:r>
    </w:p>
    <w:p>
      <w:pPr>
        <w:spacing w:after="0" w:line="103" w:lineRule="exact"/>
        <w:rPr>
          <w:sz w:val="20"/>
          <w:szCs w:val="20"/>
          <w:color w:val="auto"/>
        </w:rPr>
      </w:pPr>
    </w:p>
    <w:p>
      <w:pPr>
        <w:ind w:left="1120" w:right="439" w:hanging="412"/>
        <w:spacing w:after="0" w:line="263" w:lineRule="auto"/>
        <w:tabs>
          <w:tab w:leader="none" w:pos="1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Common Stock offered under the Registration Statement, provided that (i) the Registration Statement and any required post-effective amendment thereto have all become effective under the Securities Act and the Prospectus and any and all Prospectus Supplement(s) required by applicable laws have been delivered and filed as required by such laws; (ii) the issuance of the Common Stock has been duly authorized by all necessary corporate action on the part of the Company; (iii) the issuance and sale of the Common Stock do not violate any applicable law, are in conformity with the Company’s then operative certificate of incorporation, as amended (the “</w:t>
      </w:r>
      <w:r>
        <w:rPr>
          <w:rFonts w:ascii="Times New Roman" w:cs="Times New Roman" w:eastAsia="Times New Roman" w:hAnsi="Times New Roman"/>
          <w:sz w:val="13"/>
          <w:szCs w:val="13"/>
          <w:b w:val="1"/>
          <w:bCs w:val="1"/>
          <w:i w:val="1"/>
          <w:iCs w:val="1"/>
          <w:color w:val="auto"/>
        </w:rPr>
        <w:t>Certificate of Incorporation</w:t>
      </w:r>
      <w:r>
        <w:rPr>
          <w:rFonts w:ascii="Times New Roman" w:cs="Times New Roman" w:eastAsia="Times New Roman" w:hAnsi="Times New Roman"/>
          <w:sz w:val="13"/>
          <w:szCs w:val="13"/>
          <w:color w:val="auto"/>
        </w:rPr>
        <w:t>”), including, without limitation the authorization thereunder of a sufficient number of shares of Common Stock, and bylaws (the “</w:t>
      </w:r>
      <w:r>
        <w:rPr>
          <w:rFonts w:ascii="Times New Roman" w:cs="Times New Roman" w:eastAsia="Times New Roman" w:hAnsi="Times New Roman"/>
          <w:sz w:val="13"/>
          <w:szCs w:val="13"/>
          <w:b w:val="1"/>
          <w:bCs w:val="1"/>
          <w:i w:val="1"/>
          <w:iCs w:val="1"/>
          <w:color w:val="auto"/>
        </w:rPr>
        <w:t>Bylaws</w:t>
      </w:r>
      <w:r>
        <w:rPr>
          <w:rFonts w:ascii="Times New Roman" w:cs="Times New Roman" w:eastAsia="Times New Roman" w:hAnsi="Times New Roman"/>
          <w:sz w:val="13"/>
          <w:szCs w:val="13"/>
          <w:color w:val="auto"/>
        </w:rPr>
        <w:t>”), do not result in a default under or breach of any agreement or instrument binding upon the Company and comply with any applicable requirements and restrictions imposed by any court or governmental body having jurisdiction over the Company; and (iv) the certificates for the Common Stock have been duly executed by the Company, countersigned by the transfer agent therefor and duly delivered to the purchasers thereof</w:t>
      </w:r>
    </w:p>
    <w:p>
      <w:pPr>
        <w:sectPr>
          <w:pgSz w:w="11900" w:h="16838" w:orient="portrait"/>
          <w:cols w:equalWidth="0" w:num="1">
            <w:col w:w="9019"/>
          </w:cols>
          <w:pgMar w:left="1440" w:top="238" w:right="1440" w:bottom="1440" w:gutter="0" w:footer="0" w:header="0"/>
        </w:sectPr>
      </w:pPr>
    </w:p>
    <w:bookmarkStart w:id="90" w:name="page91"/>
    <w:bookmarkEnd w:id="90"/>
    <w:p>
      <w:pPr>
        <w:ind w:left="1120" w:right="399"/>
        <w:spacing w:after="0" w:line="27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against payment therefor, then the Common Stock, when issued and sold as contemplated in the Registration Statement, the Prospectus and the related Prospectus Supplement(s) and in accordance with any applicable duly authorized, executed and delivered purchase, underwriting or similar agreement, will be duly authorized, validly issued, fully paid and nonassessable.</w:t>
      </w:r>
    </w:p>
    <w:p>
      <w:pPr>
        <w:spacing w:after="0" w:line="56" w:lineRule="exact"/>
        <w:rPr>
          <w:sz w:val="20"/>
          <w:szCs w:val="20"/>
          <w:color w:val="auto"/>
        </w:rPr>
      </w:pPr>
    </w:p>
    <w:p>
      <w:pPr>
        <w:ind w:left="1120" w:right="459" w:hanging="412"/>
        <w:spacing w:after="0" w:line="263" w:lineRule="auto"/>
        <w:tabs>
          <w:tab w:leader="none" w:pos="1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Preferred Stock offered under the Registration Statement, provided that (i) the Registration Statement and any required post-effective amendment thereto have all become effective under the Securities Act and the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Bylaws, do not result in a default under or breach of any agreement or instrument binding upon the Company and comply with any applicable requirement or restriction imposed by any court or governmental body having jurisdiction over the Company; and (iv) the certificates for the Preferred Stock have been duly executed by the Company, countersigned by the transfer agent therefor and duly delivered to the purchasers thereof against payment therefor, then the Preferred Stock, when issued and sold as contemplated in the Registration Statement, the Prospectus and the related Prospectus Supplement(s) and in accordance with any applicable duly authorized, executed and delivered purchase, underwriting or similar agreement, will be duly authorized, validly issued, fully paid and nonassessable.</w:t>
      </w:r>
    </w:p>
    <w:p>
      <w:pPr>
        <w:spacing w:after="0" w:line="65" w:lineRule="exact"/>
        <w:rPr>
          <w:rFonts w:ascii="Times New Roman" w:cs="Times New Roman" w:eastAsia="Times New Roman" w:hAnsi="Times New Roman"/>
          <w:sz w:val="13"/>
          <w:szCs w:val="13"/>
          <w:color w:val="auto"/>
        </w:rPr>
      </w:pPr>
    </w:p>
    <w:p>
      <w:pPr>
        <w:ind w:left="1120" w:right="439" w:hanging="412"/>
        <w:spacing w:after="0" w:line="265" w:lineRule="auto"/>
        <w:tabs>
          <w:tab w:leader="none" w:pos="1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Warrants to be issued under the Warrant Agreements and offered under the Registration Statement, provided that (i) the Registration Statement and any required post-effective amendment thereto have all become effective under the Securities Act and the Prospectus and any and all Prospectus Supplement(s) required by applicable laws have been delivered and filed as required by such laws;</w:t>
      </w:r>
    </w:p>
    <w:p>
      <w:pPr>
        <w:spacing w:after="0" w:line="1" w:lineRule="exact"/>
        <w:rPr>
          <w:rFonts w:ascii="Times New Roman" w:cs="Times New Roman" w:eastAsia="Times New Roman" w:hAnsi="Times New Roman"/>
          <w:sz w:val="13"/>
          <w:szCs w:val="13"/>
          <w:color w:val="auto"/>
        </w:rPr>
      </w:pPr>
    </w:p>
    <w:p>
      <w:pPr>
        <w:ind w:left="1320" w:hanging="208"/>
        <w:spacing w:after="0"/>
        <w:tabs>
          <w:tab w:leader="none" w:pos="1320"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applicable Warrant Agreement has been duly authorized by the Company and the Warrant Agent by all necessary corporate action;</w:t>
      </w:r>
    </w:p>
    <w:p>
      <w:pPr>
        <w:spacing w:after="0" w:line="12" w:lineRule="exact"/>
        <w:rPr>
          <w:rFonts w:ascii="Times New Roman" w:cs="Times New Roman" w:eastAsia="Times New Roman" w:hAnsi="Times New Roman"/>
          <w:sz w:val="13"/>
          <w:szCs w:val="13"/>
          <w:color w:val="auto"/>
        </w:rPr>
      </w:pPr>
    </w:p>
    <w:p>
      <w:pPr>
        <w:ind w:left="1120" w:right="479" w:hanging="8"/>
        <w:spacing w:after="0" w:line="259" w:lineRule="auto"/>
        <w:tabs>
          <w:tab w:leader="none" w:pos="1355"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applicable Warrant Agreement has been duly executed and delivered by the Company and the Warrant Agent and the terms of the Warrant Agreement have been established in accordance with applicable law; (iv) the issuance and terms of the Warrants have been duly authorized by the Company by all necessary corporate action; (v) the terms of the Warrants and of their issuance and sale have been duly established in conformity with any applicable Warrant Agreement and as described in the Registration Statement, the Prospectus and the related Prospectus Supplement(s), so as not to violate any applicable law or result in a default under or breach of any agreement or instrument binding upon the Company, so as to be in conformity with the Certificate of Incorporation and Bylaws, and so as to comply with any applicable requirements and restrictions imposed by any court or governmental body having jurisdiction over the Company; and</w:t>
      </w:r>
    </w:p>
    <w:p>
      <w:pPr>
        <w:spacing w:after="0" w:line="1" w:lineRule="exact"/>
        <w:rPr>
          <w:rFonts w:ascii="Times New Roman" w:cs="Times New Roman" w:eastAsia="Times New Roman" w:hAnsi="Times New Roman"/>
          <w:sz w:val="13"/>
          <w:szCs w:val="13"/>
          <w:color w:val="auto"/>
        </w:rPr>
      </w:pPr>
    </w:p>
    <w:p>
      <w:pPr>
        <w:ind w:left="1120" w:right="539" w:hanging="8"/>
        <w:spacing w:after="0" w:line="263" w:lineRule="auto"/>
        <w:tabs>
          <w:tab w:leader="none" w:pos="1348"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Warrants have been duly executed and delivered by the Company and authenticated by the Warrant Agent pursuant to any applicable Warrant Agreement and delivered against payment therefor, then the Warrants, when issued and sold in accordance with the applicable Warrant Agreement and a duly authorized, executed and delivered purchase, underwriting or similar agreement, will be valid and legally binding obligations of the Company, enforceable against the Company in accordance with their terms, except as enforcement thereof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226" w:lineRule="exact"/>
        <w:rPr>
          <w:rFonts w:ascii="Times New Roman" w:cs="Times New Roman" w:eastAsia="Times New Roman" w:hAnsi="Times New Roman"/>
          <w:sz w:val="13"/>
          <w:szCs w:val="13"/>
          <w:color w:val="auto"/>
        </w:rPr>
      </w:pPr>
    </w:p>
    <w:p>
      <w:pPr>
        <w:ind w:left="1120" w:right="439" w:hanging="412"/>
        <w:spacing w:after="0" w:line="263" w:lineRule="auto"/>
        <w:tabs>
          <w:tab w:leader="none" w:pos="11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series of the Debt Securities issued under a note purchase agreement or indenture and offered under the Registration Statement, provided that (i) the Registration Statement and any required post-effective amendment thereto have all become effective under the Securities Act and the Prospectus and any and all Prospectus Supplement(s) required by applicable laws have been delivered and filed as required by such laws; (ii) such note purchase agreement or indenture has been duly authorized by the Company and a trustee by all necessary corporate action; (iii) such note purchase agreement or indenture has been duly executed and delivered by the Company and such trustee; (iv) the issuance and terms of the Debt Securities have been duly authorized by the Company by all necessary corporate action; (v) the terms of the Debt Securities and of their issuance and sale have been duly established in conformity with such indenture so as not to violate any applicable law or result in a default under or breach of any agreement or instrument binding upon the Company, so as to be in conformity with the Certificate of Incorporation and Bylaws, and so as to comply with any requirements and restrictions imposed by any court or governmental body having jurisdiction over the Company; and (vi) the Debt Securities have been duly executed and delivered by the</w:t>
      </w:r>
    </w:p>
    <w:p>
      <w:pPr>
        <w:sectPr>
          <w:pgSz w:w="11900" w:h="16838" w:orient="portrait"/>
          <w:cols w:equalWidth="0" w:num="1">
            <w:col w:w="9019"/>
          </w:cols>
          <w:pgMar w:left="1440" w:top="238" w:right="1440" w:bottom="1440" w:gutter="0" w:footer="0" w:header="0"/>
        </w:sectPr>
      </w:pPr>
    </w:p>
    <w:bookmarkStart w:id="91" w:name="page92"/>
    <w:bookmarkEnd w:id="91"/>
    <w:p>
      <w:pPr>
        <w:ind w:left="1120" w:right="41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Company and authenticated by such trustee pursuant to such note purchase agreement or indenture and delivered against payment therefor, then the Debt Securities, when issued and sold in accordance with such note purchase agreement or indenture and a duly authorized, executed and delivered purchase, underwriting or similar agreement, will be valid and legally binding obligations of the Company, enforceable against the Company in accordance with their terms, except as enforcement thereof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62" w:lineRule="exact"/>
        <w:rPr>
          <w:sz w:val="20"/>
          <w:szCs w:val="20"/>
          <w:color w:val="auto"/>
        </w:rPr>
      </w:pPr>
    </w:p>
    <w:p>
      <w:pPr>
        <w:ind w:left="1120" w:right="399" w:hanging="412"/>
        <w:spacing w:after="0" w:line="261" w:lineRule="auto"/>
        <w:tabs>
          <w:tab w:leader="none" w:pos="112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Rights offered under the Registration Statement, provided that (i) the Registration Statement and any required post-effective amendment thereto have all become effective under the Securities Act and the Prospectus and any and all Prospectus Supplement(s) required by applicable laws have been delivered and filed as required by such laws; (ii) the terms and issuance of the Rights have been duly authorized by all necessary corporate action on the part of the Company; (iii) the terms of the Rights and their issuance and sale do not violate any applicable law, are in conformity with the Certificate of Incorporation and Bylaws, do not result in a default under or breach of any agreement or instrument binding upon the Company and comply with any applicable requirements and restrictions imposed by any court or governmental body having jurisdiction over the Company; (iv) the issuance and terms of the Rights have been duly authorized by the Company by all necessary corporate action; (v) the terms of the Rights and of their issuance and sale have been duly established in conformity with the applicable agreement(s) so as not to violate any applicable law or result in a default under or breach of any agreement or instrument binding upon the Company, so as to be in conformity with the Certificate of Incorporation and Bylaws, and so as to comply with any applicable requirements and restrictions imposed by any court or governmental body having jurisdiction over the Company; and (vi) the Rights have been duly executed and delivered by the Company and delivered against payment therefor, then the Rights, when issued and sold in accordance with the applicable agreement and a duly authorized, executed and delivered purchase, underwriting or similar agreement, will be valid and legally binding obligations of the Company, enforceable against the Company in accordance with their terms, except as enforcement thereof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235" w:lineRule="exact"/>
        <w:rPr>
          <w:rFonts w:ascii="Times New Roman" w:cs="Times New Roman" w:eastAsia="Times New Roman" w:hAnsi="Times New Roman"/>
          <w:sz w:val="13"/>
          <w:szCs w:val="13"/>
          <w:color w:val="auto"/>
        </w:rPr>
      </w:pPr>
    </w:p>
    <w:p>
      <w:pPr>
        <w:ind w:left="1120" w:right="399" w:hanging="412"/>
        <w:spacing w:after="0" w:line="261" w:lineRule="auto"/>
        <w:tabs>
          <w:tab w:leader="none" w:pos="112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Units offered under the Registration Statement, provided that (i) the Registration Statement and any required post-effective amendment thereto have all become effective under the Securities Act and the Prospectus and any and all Prospectus Supplement(s) required by applicable laws have been delivered and filed as required by such laws; (ii) the terms and issuance of the Units have been duly authorized by all necessary corporate action on the part of the Company; (iii) the terms of Units and their issuance and sale do not violate any applicable law, are in conformity with the Certificate of Incorporation and Bylaws, do not result in a default under or breach of any agreement or instrument binding upon the Company and comply with any applicable requirements and restrictions imposed by any court or governmental body having jurisdiction over the Company; (iv) the issuance and terms of the Units have been duly authorized by the Company by all necessary corporate action; (v) the terms of the Units and of their issuance and sale have been duly established in conformity with the applicable agreement(s)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Units have been duly executed and delivered by the Company and delivered against payment therefor, then the Units, when issued and sold in accordance with the applicable agreement(s) and a duly authorized, executed and delivered purchase, underwriting or similar agreement, will be valid and legally binding obligations of the Company, enforceable against the Company in accordance with their terms, except as enforcement thereof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306" w:lineRule="exact"/>
        <w:rPr>
          <w:sz w:val="20"/>
          <w:szCs w:val="20"/>
          <w:color w:val="auto"/>
        </w:rPr>
      </w:pPr>
    </w:p>
    <w:p>
      <w:pPr>
        <w:ind w:left="380" w:right="439"/>
        <w:spacing w:after="0" w:line="278" w:lineRule="auto"/>
        <w:rPr>
          <w:sz w:val="20"/>
          <w:szCs w:val="20"/>
          <w:color w:val="auto"/>
        </w:rPr>
      </w:pPr>
      <w:r>
        <w:rPr>
          <w:rFonts w:ascii="Times New Roman" w:cs="Times New Roman" w:eastAsia="Times New Roman" w:hAnsi="Times New Roman"/>
          <w:sz w:val="13"/>
          <w:szCs w:val="13"/>
          <w:color w:val="auto"/>
        </w:rPr>
        <w:t>This opinion letter speaks only as of the date hereof unless otherwise expressly stated and 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w:t>
      </w:r>
    </w:p>
    <w:p>
      <w:pPr>
        <w:sectPr>
          <w:pgSz w:w="11900" w:h="16838" w:orient="portrait"/>
          <w:cols w:equalWidth="0" w:num="1">
            <w:col w:w="9019"/>
          </w:cols>
          <w:pgMar w:left="1440" w:top="238" w:right="1440" w:bottom="1440" w:gutter="0" w:footer="0" w:header="0"/>
        </w:sectPr>
      </w:pPr>
    </w:p>
    <w:bookmarkStart w:id="92" w:name="page93"/>
    <w:bookmarkEnd w:id="92"/>
    <w:p>
      <w:pPr>
        <w:ind w:left="380" w:right="459"/>
        <w:spacing w:after="0" w:line="27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This opinion letter is furnished in connection with the filing of the Registration Statement and may not be relied upon for any other purpose without our prior written consent in each instance. Further, no portion of this letter may be quoted, circulated or referred to in any other document for any other purpose without our prior written consent.</w:t>
      </w:r>
    </w:p>
    <w:p>
      <w:pPr>
        <w:spacing w:after="0" w:line="127" w:lineRule="exact"/>
        <w:rPr>
          <w:sz w:val="20"/>
          <w:szCs w:val="20"/>
          <w:color w:val="auto"/>
        </w:rPr>
      </w:pPr>
    </w:p>
    <w:p>
      <w:pPr>
        <w:ind w:left="380" w:right="539"/>
        <w:spacing w:after="0" w:line="272" w:lineRule="auto"/>
        <w:rPr>
          <w:sz w:val="20"/>
          <w:szCs w:val="20"/>
          <w:color w:val="auto"/>
        </w:rPr>
      </w:pPr>
      <w:r>
        <w:rPr>
          <w:rFonts w:ascii="Times New Roman" w:cs="Times New Roman" w:eastAsia="Times New Roman" w:hAnsi="Times New Roman"/>
          <w:sz w:val="13"/>
          <w:szCs w:val="13"/>
          <w:color w:val="auto"/>
        </w:rPr>
        <w:t>We hereby consent to the filing of this opinion with the Commission as Exhibit 5.1 to the Registration Statement, and to the use of our name as it appears under the caption “Legal Matters” in the prospectus which forms part of the Registration Statement. In giving such consent, we do not thereby admit that we come within the category of persons whose consent is required under Section 7 of the Securities Act or the rules and regulations of the Commission promulgated thereunder.</w:t>
      </w:r>
    </w:p>
    <w:p>
      <w:pPr>
        <w:spacing w:after="0" w:line="1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/s/ Sullivan &amp; Worcester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15875</wp:posOffset>
            </wp:positionV>
            <wp:extent cx="208978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2089785" cy="6350"/>
                    </a:xfrm>
                    <a:prstGeom prst="rect">
                      <a:avLst/>
                    </a:prstGeom>
                    <a:noFill/>
                  </pic:spPr>
                </pic:pic>
              </a:graphicData>
            </a:graphic>
          </wp:anchor>
        </w:drawing>
      </w:r>
    </w:p>
    <w:p>
      <w:pPr>
        <w:spacing w:after="0" w:line="1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Sullivan &amp; Worcester LLP</w:t>
      </w:r>
    </w:p>
    <w:p>
      <w:pPr>
        <w:sectPr>
          <w:pgSz w:w="11900" w:h="16838" w:orient="portrait"/>
          <w:cols w:equalWidth="0" w:num="1">
            <w:col w:w="9019"/>
          </w:cols>
          <w:pgMar w:left="1440" w:top="238" w:right="1440" w:bottom="1440" w:gutter="0" w:footer="0" w:header="0"/>
        </w:sectPr>
      </w:pPr>
    </w:p>
    <w:bookmarkStart w:id="93" w:name="page94"/>
    <w:bookmarkEnd w:id="93"/>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949960</wp:posOffset>
            </wp:positionH>
            <wp:positionV relativeFrom="paragraph">
              <wp:posOffset>133985</wp:posOffset>
            </wp:positionV>
            <wp:extent cx="3827145" cy="410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3827145" cy="41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June 1, 2026</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Plus Therapeutics, Inc.</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6420 Levit Green Boulevard, Suite 310</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Houston, Texas 77021</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We have acted as special counsel to Plus Therapeutics,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in connection with a Registration Statement on</w:t>
      </w:r>
    </w:p>
    <w:p>
      <w:pPr>
        <w:spacing w:after="0" w:line="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Form S-3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filed on June 1, 2026 by the Company with the U.S. Securities and Exchange Commission (the</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under the Securities Act of 1933, as amended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The Registration Statement contains a base prospectus (the “</w:t>
      </w:r>
      <w:r>
        <w:rPr>
          <w:rFonts w:ascii="Times New Roman" w:cs="Times New Roman" w:eastAsia="Times New Roman" w:hAnsi="Times New Roman"/>
          <w:sz w:val="13"/>
          <w:szCs w:val="13"/>
          <w:b w:val="1"/>
          <w:bCs w:val="1"/>
          <w:i w:val="1"/>
          <w:iCs w:val="1"/>
          <w:color w:val="auto"/>
        </w:rPr>
        <w:t>Base</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i w:val="1"/>
          <w:iCs w:val="1"/>
          <w:color w:val="auto"/>
        </w:rPr>
        <w:t>Prospectus</w:t>
      </w:r>
      <w:r>
        <w:rPr>
          <w:rFonts w:ascii="Times New Roman" w:cs="Times New Roman" w:eastAsia="Times New Roman" w:hAnsi="Times New Roman"/>
          <w:sz w:val="13"/>
          <w:szCs w:val="13"/>
          <w:color w:val="auto"/>
        </w:rPr>
        <w:t>”) and an equity distribution agreement prospectus (together with the Base Prospectus, the “</w:t>
      </w:r>
      <w:r>
        <w:rPr>
          <w:rFonts w:ascii="Times New Roman" w:cs="Times New Roman" w:eastAsia="Times New Roman" w:hAnsi="Times New Roman"/>
          <w:sz w:val="13"/>
          <w:szCs w:val="13"/>
          <w:b w:val="1"/>
          <w:bCs w:val="1"/>
          <w:i w:val="1"/>
          <w:iCs w:val="1"/>
          <w:color w:val="auto"/>
        </w:rPr>
        <w:t>ATM Prospectus</w:t>
      </w:r>
      <w:r>
        <w:rPr>
          <w:rFonts w:ascii="Times New Roman" w:cs="Times New Roman" w:eastAsia="Times New Roman" w:hAnsi="Times New Roman"/>
          <w:sz w:val="13"/>
          <w:szCs w:val="13"/>
          <w:color w:val="auto"/>
        </w:rPr>
        <w:t>”) relating to the offer and sale</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from time to time by the Company, through Canaccord Genuity LLC, as sales agent (the “</w:t>
      </w:r>
      <w:r>
        <w:rPr>
          <w:rFonts w:ascii="Times New Roman" w:cs="Times New Roman" w:eastAsia="Times New Roman" w:hAnsi="Times New Roman"/>
          <w:sz w:val="13"/>
          <w:szCs w:val="13"/>
          <w:b w:val="1"/>
          <w:bCs w:val="1"/>
          <w:i w:val="1"/>
          <w:iCs w:val="1"/>
          <w:color w:val="auto"/>
        </w:rPr>
        <w:t>Sales Agent</w:t>
      </w:r>
      <w:r>
        <w:rPr>
          <w:rFonts w:ascii="Times New Roman" w:cs="Times New Roman" w:eastAsia="Times New Roman" w:hAnsi="Times New Roman"/>
          <w:sz w:val="13"/>
          <w:szCs w:val="13"/>
          <w:color w:val="auto"/>
        </w:rPr>
        <w:t>”), of an aggregate of up to $17,350,000 of shares</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i w:val="1"/>
          <w:iCs w:val="1"/>
          <w:color w:val="auto"/>
        </w:rPr>
        <w:t>Shares</w:t>
      </w:r>
      <w:r>
        <w:rPr>
          <w:rFonts w:ascii="Times New Roman" w:cs="Times New Roman" w:eastAsia="Times New Roman" w:hAnsi="Times New Roman"/>
          <w:sz w:val="13"/>
          <w:szCs w:val="13"/>
          <w:color w:val="auto"/>
        </w:rPr>
        <w:t>”) of common stock, par value $0.001 per share, of the Company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pursuant to that certain Equity Distribution</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Agreement, dated as of June 1, 2026, by and between the Sales Agent and the Company (the “</w:t>
      </w:r>
      <w:r>
        <w:rPr>
          <w:rFonts w:ascii="Times New Roman" w:cs="Times New Roman" w:eastAsia="Times New Roman" w:hAnsi="Times New Roman"/>
          <w:sz w:val="13"/>
          <w:szCs w:val="13"/>
          <w:b w:val="1"/>
          <w:bCs w:val="1"/>
          <w:i w:val="1"/>
          <w:iCs w:val="1"/>
          <w:color w:val="auto"/>
        </w:rPr>
        <w:t>Sales Agreement</w:t>
      </w:r>
      <w:r>
        <w:rPr>
          <w:rFonts w:ascii="Times New Roman" w:cs="Times New Roman" w:eastAsia="Times New Roman" w:hAnsi="Times New Roman"/>
          <w:sz w:val="13"/>
          <w:szCs w:val="13"/>
          <w:color w:val="auto"/>
        </w:rPr>
        <w:t>”).</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This opinion relates solely to the Shares to be offered and sold pursuant to the Registration Statement, the ATM Prospectus and the Sales Agreement.</w:t>
      </w:r>
    </w:p>
    <w:p>
      <w:pPr>
        <w:spacing w:after="0" w:line="174" w:lineRule="exact"/>
        <w:rPr>
          <w:sz w:val="20"/>
          <w:szCs w:val="20"/>
          <w:color w:val="auto"/>
        </w:rPr>
      </w:pPr>
    </w:p>
    <w:p>
      <w:pPr>
        <w:ind w:left="380" w:right="579"/>
        <w:spacing w:after="0" w:line="269" w:lineRule="auto"/>
        <w:rPr>
          <w:sz w:val="20"/>
          <w:szCs w:val="20"/>
          <w:color w:val="auto"/>
        </w:rPr>
      </w:pPr>
      <w:r>
        <w:rPr>
          <w:rFonts w:ascii="Times New Roman" w:cs="Times New Roman" w:eastAsia="Times New Roman" w:hAnsi="Times New Roman"/>
          <w:sz w:val="13"/>
          <w:szCs w:val="13"/>
          <w:color w:val="auto"/>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We have examined and relied upon minutes of meetings and resolutions of the board of directors of the Company as provided to us by the Company, the certificate of incorporation and bylaws of the Company, each as restated and/or amended to date, and such other documents as we have deemed necessary for purposes of rendering the opinion hereinafter set forth.</w:t>
      </w:r>
    </w:p>
    <w:p>
      <w:pPr>
        <w:spacing w:after="0" w:line="131" w:lineRule="exact"/>
        <w:rPr>
          <w:sz w:val="20"/>
          <w:szCs w:val="20"/>
          <w:color w:val="auto"/>
        </w:rPr>
      </w:pPr>
    </w:p>
    <w:p>
      <w:pPr>
        <w:ind w:left="380" w:right="539"/>
        <w:spacing w:after="0" w:line="272" w:lineRule="auto"/>
        <w:rPr>
          <w:sz w:val="20"/>
          <w:szCs w:val="20"/>
          <w:color w:val="auto"/>
        </w:rPr>
      </w:pPr>
      <w:r>
        <w:rPr>
          <w:rFonts w:ascii="Times New Roman" w:cs="Times New Roman" w:eastAsia="Times New Roman" w:hAnsi="Times New Roman"/>
          <w:sz w:val="13"/>
          <w:szCs w:val="13"/>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130" w:lineRule="exact"/>
        <w:rPr>
          <w:sz w:val="20"/>
          <w:szCs w:val="20"/>
          <w:color w:val="auto"/>
        </w:rPr>
      </w:pPr>
    </w:p>
    <w:p>
      <w:pPr>
        <w:ind w:left="380" w:right="499"/>
        <w:spacing w:after="0" w:line="272" w:lineRule="auto"/>
        <w:rPr>
          <w:sz w:val="20"/>
          <w:szCs w:val="20"/>
          <w:color w:val="auto"/>
        </w:rPr>
      </w:pPr>
      <w:r>
        <w:rPr>
          <w:rFonts w:ascii="Times New Roman" w:cs="Times New Roman" w:eastAsia="Times New Roman" w:hAnsi="Times New Roman"/>
          <w:sz w:val="13"/>
          <w:szCs w:val="13"/>
          <w:color w:val="auto"/>
        </w:rPr>
        <w:t>Our opinion herein is expressed solely with respect to the federal securities laws of the United States and the General Corporation Law of the State of Delaware. Our opinion is based on these laws as in effect on the date hereof. We express no opinion as to whether the laws of any other jurisdiction are applicable to the subject matter hereof. We are not rendering any opinion as to compliance with any federal or state law, rule or regulation relating to securities, or to the sale or issuance thereof.</w:t>
      </w:r>
    </w:p>
    <w:p>
      <w:pPr>
        <w:spacing w:after="0" w:line="130" w:lineRule="exact"/>
        <w:rPr>
          <w:sz w:val="20"/>
          <w:szCs w:val="20"/>
          <w:color w:val="auto"/>
        </w:rPr>
      </w:pPr>
    </w:p>
    <w:p>
      <w:pPr>
        <w:ind w:left="380" w:right="1019"/>
        <w:spacing w:after="0" w:line="298" w:lineRule="auto"/>
        <w:rPr>
          <w:sz w:val="20"/>
          <w:szCs w:val="20"/>
          <w:color w:val="auto"/>
        </w:rPr>
      </w:pPr>
      <w:r>
        <w:rPr>
          <w:rFonts w:ascii="Times New Roman" w:cs="Times New Roman" w:eastAsia="Times New Roman" w:hAnsi="Times New Roman"/>
          <w:sz w:val="13"/>
          <w:szCs w:val="13"/>
          <w:color w:val="auto"/>
        </w:rPr>
        <w:t>On the basis of the foregoing, and in reliance thereon, we are of the opinion that the Shares, when issued and sold against payment therefor in accordance with the Sales Agreement, will be validly issued, fully paid and nonassessable.</w:t>
      </w:r>
    </w:p>
    <w:p>
      <w:pPr>
        <w:spacing w:after="0" w:line="113" w:lineRule="exact"/>
        <w:rPr>
          <w:sz w:val="20"/>
          <w:szCs w:val="20"/>
          <w:color w:val="auto"/>
        </w:rPr>
      </w:pPr>
    </w:p>
    <w:p>
      <w:pPr>
        <w:ind w:left="380" w:right="439"/>
        <w:spacing w:after="0" w:line="278" w:lineRule="auto"/>
        <w:rPr>
          <w:sz w:val="20"/>
          <w:szCs w:val="20"/>
          <w:color w:val="auto"/>
        </w:rPr>
      </w:pPr>
      <w:r>
        <w:rPr>
          <w:rFonts w:ascii="Times New Roman" w:cs="Times New Roman" w:eastAsia="Times New Roman" w:hAnsi="Times New Roman"/>
          <w:sz w:val="13"/>
          <w:szCs w:val="13"/>
          <w:color w:val="auto"/>
        </w:rPr>
        <w:t>This opinion letter speaks only as of the date hereof unless otherwise expressly stated and 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w:t>
      </w:r>
    </w:p>
    <w:p>
      <w:pPr>
        <w:spacing w:after="0" w:line="127" w:lineRule="exact"/>
        <w:rPr>
          <w:sz w:val="20"/>
          <w:szCs w:val="20"/>
          <w:color w:val="auto"/>
        </w:rPr>
      </w:pPr>
    </w:p>
    <w:p>
      <w:pPr>
        <w:ind w:left="380" w:right="459"/>
        <w:spacing w:after="0" w:line="278" w:lineRule="auto"/>
        <w:rPr>
          <w:sz w:val="20"/>
          <w:szCs w:val="20"/>
          <w:color w:val="auto"/>
        </w:rPr>
      </w:pPr>
      <w:r>
        <w:rPr>
          <w:rFonts w:ascii="Times New Roman" w:cs="Times New Roman" w:eastAsia="Times New Roman" w:hAnsi="Times New Roman"/>
          <w:sz w:val="13"/>
          <w:szCs w:val="13"/>
          <w:color w:val="auto"/>
        </w:rPr>
        <w:t>This opinion letter is furnished in connection with the filing of the Registration Statement and may not be relied upon for any other purpose without our prior written consent in each instance. Further, no portion of this letter may be quoted, circulated or referred to in any other document for any other purpose without our prior written consent.</w:t>
      </w:r>
    </w:p>
    <w:p>
      <w:pPr>
        <w:sectPr>
          <w:pgSz w:w="11900" w:h="16838" w:orient="portrait"/>
          <w:cols w:equalWidth="0" w:num="1">
            <w:col w:w="9019"/>
          </w:cols>
          <w:pgMar w:left="1440" w:top="123" w:right="1440" w:bottom="1440" w:gutter="0" w:footer="0" w:header="0"/>
        </w:sectPr>
      </w:pPr>
    </w:p>
    <w:bookmarkStart w:id="94" w:name="page95"/>
    <w:bookmarkEnd w:id="94"/>
    <w:p>
      <w:pPr>
        <w:ind w:left="380" w:right="53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We hereby consent to the filing of this opinion with the Commission as Exhibit 5.2 to the Registration Statement, and to the use of our name as it appears under the caption “Legal Matters” in the prospectus which forms part of the Registration Statement. In giving such consent, we do not thereby admit that we come within the category of persons whose consent is required under Section 7 of the Securities Act or the rules and regulations of the Commission promulgated thereunder.</w:t>
      </w:r>
    </w:p>
    <w:p>
      <w:pPr>
        <w:spacing w:after="0" w:line="1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/s/ Sullivan &amp; Worcester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15875</wp:posOffset>
            </wp:positionV>
            <wp:extent cx="208978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2089785" cy="6350"/>
                    </a:xfrm>
                    <a:prstGeom prst="rect">
                      <a:avLst/>
                    </a:prstGeom>
                    <a:noFill/>
                  </pic:spPr>
                </pic:pic>
              </a:graphicData>
            </a:graphic>
          </wp:anchor>
        </w:drawing>
      </w:r>
    </w:p>
    <w:p>
      <w:pPr>
        <w:spacing w:after="0" w:line="1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Sullivan &amp; Worcester LLP</w:t>
      </w:r>
    </w:p>
    <w:p>
      <w:pPr>
        <w:sectPr>
          <w:pgSz w:w="11900" w:h="16838" w:orient="portrait"/>
          <w:cols w:equalWidth="0" w:num="1">
            <w:col w:w="9019"/>
          </w:cols>
          <w:pgMar w:left="1440" w:top="238" w:right="1440" w:bottom="1440" w:gutter="0" w:footer="0" w:header="0"/>
        </w:sectPr>
      </w:pPr>
    </w:p>
    <w:bookmarkStart w:id="95" w:name="page96"/>
    <w:bookmarkEnd w:id="95"/>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CONSENT OF INDEPENDENT REGISTERED PUBLIC ACCOUNTING FIRM</w:t>
      </w:r>
    </w:p>
    <w:p>
      <w:pPr>
        <w:spacing w:after="0" w:line="178" w:lineRule="exact"/>
        <w:rPr>
          <w:sz w:val="20"/>
          <w:szCs w:val="20"/>
          <w:color w:val="auto"/>
        </w:rPr>
      </w:pPr>
    </w:p>
    <w:p>
      <w:pPr>
        <w:ind w:left="380" w:right="499"/>
        <w:spacing w:after="0" w:line="278" w:lineRule="auto"/>
        <w:rPr>
          <w:sz w:val="20"/>
          <w:szCs w:val="20"/>
          <w:color w:val="auto"/>
        </w:rPr>
      </w:pPr>
      <w:r>
        <w:rPr>
          <w:rFonts w:ascii="Times New Roman" w:cs="Times New Roman" w:eastAsia="Times New Roman" w:hAnsi="Times New Roman"/>
          <w:sz w:val="13"/>
          <w:szCs w:val="13"/>
          <w:color w:val="auto"/>
        </w:rPr>
        <w:t>We consent to the incorporation by reference in this Registration Statement on Form S-3, of our report dated March 12, 2026 with respect to the financial statements of Plus Therapeutics, Inc. for the year ended December 31, 2025 included in the Annual Report on Form 10-K. We also consent to the reference to us under the heading “Experts” in such Registration Statement.</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/s/ CBIZ CPA</w:t>
      </w:r>
      <w:r>
        <w:rPr>
          <w:rFonts w:ascii="Times New Roman" w:cs="Times New Roman" w:eastAsia="Times New Roman" w:hAnsi="Times New Roman"/>
          <w:sz w:val="11"/>
          <w:szCs w:val="11"/>
          <w:color w:val="auto"/>
        </w:rPr>
        <w:t>S</w:t>
      </w:r>
      <w:r>
        <w:rPr>
          <w:rFonts w:ascii="Times New Roman" w:cs="Times New Roman" w:eastAsia="Times New Roman" w:hAnsi="Times New Roman"/>
          <w:sz w:val="13"/>
          <w:szCs w:val="13"/>
          <w:color w:val="auto"/>
        </w:rPr>
        <w:t xml:space="preserve"> P.C.</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New York, NY</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June 1, 2026</w:t>
      </w:r>
    </w:p>
    <w:p>
      <w:pPr>
        <w:sectPr>
          <w:pgSz w:w="11900" w:h="16838" w:orient="portrait"/>
          <w:cols w:equalWidth="0" w:num="1">
            <w:col w:w="9019"/>
          </w:cols>
          <w:pgMar w:left="1440" w:top="123" w:right="1440" w:bottom="1440" w:gutter="0" w:footer="0" w:header="0"/>
        </w:sectPr>
      </w:pPr>
    </w:p>
    <w:bookmarkStart w:id="96" w:name="page97"/>
    <w:bookmarkEnd w:id="96"/>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Exhibit 23.2</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Consent of Independent Registered Public Accounting Firm</w:t>
      </w:r>
    </w:p>
    <w:p>
      <w:pPr>
        <w:spacing w:after="0" w:line="174" w:lineRule="exact"/>
        <w:rPr>
          <w:sz w:val="20"/>
          <w:szCs w:val="20"/>
          <w:color w:val="auto"/>
        </w:rPr>
      </w:pPr>
    </w:p>
    <w:p>
      <w:pPr>
        <w:ind w:left="380" w:right="599"/>
        <w:spacing w:after="0" w:line="276" w:lineRule="auto"/>
        <w:rPr>
          <w:sz w:val="20"/>
          <w:szCs w:val="20"/>
          <w:color w:val="auto"/>
        </w:rPr>
      </w:pPr>
      <w:r>
        <w:rPr>
          <w:rFonts w:ascii="Times New Roman" w:cs="Times New Roman" w:eastAsia="Times New Roman" w:hAnsi="Times New Roman"/>
          <w:sz w:val="13"/>
          <w:szCs w:val="13"/>
          <w:color w:val="auto"/>
        </w:rPr>
        <w:t>We hereby consent to the incorporation by reference in the Prospectus constituting a part of this Registration Statement of our report dated March 31, 2025, relating to the consolidated financial statements of Plus Therapeutics, Inc. (the Company) appearing in the Company’s Annual Report on Form 10-K for the year ended December 31, 2025. Our report contains an explanatory paragraph regarding the Company’s ability to continue as a going concern.</w:t>
      </w:r>
    </w:p>
    <w:p>
      <w:pPr>
        <w:spacing w:after="0" w:line="2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We also consent to the reference to us under the caption “Experts” in the Prospectus.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/s/ BDO USA, P.C.</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Austin, Texas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June 1, 2026</w:t>
      </w:r>
    </w:p>
    <w:p>
      <w:pPr>
        <w:sectPr>
          <w:pgSz w:w="11900" w:h="16838" w:orient="portrait"/>
          <w:cols w:equalWidth="0" w:num="1">
            <w:col w:w="9019"/>
          </w:cols>
          <w:pgMar w:left="1440" w:top="123" w:right="1440" w:bottom="1440" w:gutter="0" w:footer="0" w:header="0"/>
        </w:sectPr>
      </w:pPr>
    </w:p>
    <w:bookmarkStart w:id="97" w:name="page98"/>
    <w:bookmarkEnd w:id="97"/>
    <w:p>
      <w:pPr>
        <w:ind w:left="3580"/>
        <w:spacing w:after="0"/>
        <w:rPr>
          <w:sz w:val="20"/>
          <w:szCs w:val="20"/>
          <w:color w:val="auto"/>
        </w:rPr>
      </w:pPr>
      <w:r>
        <w:rPr>
          <w:rFonts w:ascii="Arial" w:cs="Arial" w:eastAsia="Arial" w:hAnsi="Arial"/>
          <w:sz w:val="27"/>
          <w:szCs w:val="27"/>
          <w:b w:val="1"/>
          <w:bCs w:val="1"/>
          <w:color w:val="auto"/>
        </w:rPr>
        <w:t>Calculation of Filing Fee Tables</w:t>
      </w:r>
    </w:p>
    <w:p>
      <w:pPr>
        <w:spacing w:after="0" w:line="164"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3"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PLUS THERAPEUTICS, INC.</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60" w:type="dxa"/>
            <w:vAlign w:val="bottom"/>
            <w:tcBorders>
              <w:bottom w:val="single" w:sz="8" w:color="auto"/>
            </w:tcBorders>
            <w:gridSpan w:val="12"/>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tcPr>
          <w:p>
            <w:pPr>
              <w:ind w:left="2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Paid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Connection</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114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w w:val="99"/>
              </w:rPr>
              <w:t>Amount of</w:t>
            </w: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ind w:left="140"/>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20" w:type="dxa"/>
            <w:vAlign w:val="bottom"/>
            <w:shd w:val="clear" w:color="auto" w:fill="9ADAF6"/>
          </w:tcPr>
          <w:p>
            <w:pPr>
              <w:ind w:left="140"/>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5"/>
                <w:szCs w:val="15"/>
                <w:color w:val="auto"/>
              </w:rPr>
            </w:pPr>
          </w:p>
        </w:tc>
        <w:tc>
          <w:tcPr>
            <w:tcW w:w="8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11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780" w:type="dxa"/>
            <w:vAlign w:val="bottom"/>
            <w:shd w:val="clear" w:color="auto" w:fill="9ADAF6"/>
          </w:tcPr>
          <w:p>
            <w:pPr>
              <w:ind w:left="60"/>
              <w:spacing w:after="0" w:line="182" w:lineRule="exact"/>
              <w:rPr>
                <w:sz w:val="20"/>
                <w:szCs w:val="20"/>
                <w:color w:val="auto"/>
              </w:rPr>
            </w:pPr>
            <w:r>
              <w:rPr>
                <w:rFonts w:ascii="Arial" w:cs="Arial" w:eastAsia="Arial" w:hAnsi="Arial"/>
                <w:sz w:val="16"/>
                <w:szCs w:val="16"/>
                <w:b w:val="1"/>
                <w:bCs w:val="1"/>
                <w:color w:val="auto"/>
              </w:rPr>
              <w:t>Fee Rate</w:t>
            </w:r>
          </w:p>
        </w:tc>
        <w:tc>
          <w:tcPr>
            <w:tcW w:w="40" w:type="dxa"/>
            <w:vAlign w:val="bottom"/>
          </w:tcPr>
          <w:p>
            <w:pPr>
              <w:spacing w:after="0"/>
              <w:rPr>
                <w:sz w:val="15"/>
                <w:szCs w:val="15"/>
                <w:color w:val="auto"/>
              </w:rPr>
            </w:pPr>
          </w:p>
        </w:tc>
        <w:tc>
          <w:tcPr>
            <w:tcW w:w="9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9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ind w:left="260"/>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920" w:type="dxa"/>
            <w:vAlign w:val="bottom"/>
            <w:shd w:val="clear" w:color="auto" w:fill="9ADAF6"/>
          </w:tcPr>
          <w:p>
            <w:pPr>
              <w:ind w:left="60"/>
              <w:spacing w:after="0" w:line="182" w:lineRule="exact"/>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8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1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5"/>
                <w:szCs w:val="15"/>
                <w:color w:val="auto"/>
              </w:rPr>
            </w:pPr>
          </w:p>
        </w:tc>
        <w:tc>
          <w:tcPr>
            <w:tcW w:w="9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Unit</w:t>
            </w:r>
          </w:p>
        </w:tc>
        <w:tc>
          <w:tcPr>
            <w:tcW w:w="20" w:type="dxa"/>
            <w:vAlign w:val="bottom"/>
          </w:tcPr>
          <w:p>
            <w:pPr>
              <w:spacing w:after="0"/>
              <w:rPr>
                <w:sz w:val="9"/>
                <w:szCs w:val="9"/>
                <w:color w:val="auto"/>
              </w:rPr>
            </w:pPr>
          </w:p>
        </w:tc>
        <w:tc>
          <w:tcPr>
            <w:tcW w:w="11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to be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Carried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40" w:type="dxa"/>
            <w:vAlign w:val="bottom"/>
            <w:gridSpan w:val="7"/>
          </w:tcPr>
          <w:p>
            <w:pPr>
              <w:ind w:left="20"/>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6"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20"/>
              <w:spacing w:after="0" w:line="182"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$0.001 par</w:t>
            </w: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value per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20"/>
              <w:spacing w:after="0" w:line="182"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$0.001 par</w:t>
            </w: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value per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Depositary</w:t>
            </w:r>
          </w:p>
        </w:tc>
        <w:tc>
          <w:tcPr>
            <w:tcW w:w="20" w:type="dxa"/>
            <w:vAlign w:val="bottom"/>
          </w:tcPr>
          <w:p>
            <w:pPr>
              <w:spacing w:after="0"/>
              <w:rPr>
                <w:sz w:val="14"/>
                <w:szCs w:val="14"/>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20"/>
              <w:spacing w:after="0" w:line="182"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Purchase</w:t>
            </w: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Contracts</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w w:val="99"/>
              </w:rPr>
              <w:t>Subscription</w:t>
            </w:r>
          </w:p>
        </w:tc>
        <w:tc>
          <w:tcPr>
            <w:tcW w:w="20" w:type="dxa"/>
            <w:vAlign w:val="bottom"/>
          </w:tcPr>
          <w:p>
            <w:pPr>
              <w:spacing w:after="0"/>
              <w:rPr>
                <w:sz w:val="14"/>
                <w:szCs w:val="14"/>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-3816985</wp:posOffset>
            </wp:positionV>
            <wp:extent cx="7216140" cy="59169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216140" cy="591693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2"/>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580" w:type="dxa"/>
            <w:vAlign w:val="bottom"/>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3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4"/>
                <w:szCs w:val="14"/>
                <w:color w:val="auto"/>
              </w:rPr>
            </w:pPr>
          </w:p>
        </w:tc>
        <w:tc>
          <w:tcPr>
            <w:tcW w:w="580" w:type="dxa"/>
            <w:vAlign w:val="bottom"/>
            <w:shd w:val="clear" w:color="auto" w:fill="E7E7E2"/>
          </w:tcPr>
          <w:p>
            <w:pPr>
              <w:spacing w:after="0"/>
              <w:rPr>
                <w:sz w:val="14"/>
                <w:szCs w:val="14"/>
                <w:color w:val="auto"/>
              </w:rPr>
            </w:pPr>
          </w:p>
        </w:tc>
        <w:tc>
          <w:tcPr>
            <w:tcW w:w="3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580" w:type="dxa"/>
            <w:vAlign w:val="bottom"/>
            <w:shd w:val="clear" w:color="auto" w:fill="E7E7E2"/>
          </w:tcPr>
          <w:p>
            <w:pPr>
              <w:spacing w:after="0"/>
              <w:rPr>
                <w:sz w:val="7"/>
                <w:szCs w:val="7"/>
                <w:color w:val="auto"/>
              </w:rPr>
            </w:pPr>
          </w:p>
        </w:tc>
        <w:tc>
          <w:tcPr>
            <w:tcW w:w="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40" w:type="dxa"/>
            <w:vAlign w:val="bottom"/>
          </w:tcPr>
          <w:p>
            <w:pPr>
              <w:spacing w:after="0"/>
              <w:rPr>
                <w:sz w:val="7"/>
                <w:szCs w:val="7"/>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$ 13,810.00</w:t>
            </w:r>
          </w:p>
        </w:tc>
        <w:tc>
          <w:tcPr>
            <w:tcW w:w="0" w:type="dxa"/>
            <w:vAlign w:val="bottom"/>
          </w:tcPr>
          <w:p>
            <w:pPr>
              <w:spacing w:after="0"/>
              <w:rPr>
                <w:sz w:val="1"/>
                <w:szCs w:val="1"/>
                <w:color w:val="auto"/>
              </w:rPr>
            </w:pPr>
          </w:p>
        </w:tc>
      </w:tr>
      <w:tr>
        <w:trPr>
          <w:trHeight w:val="162"/>
        </w:trPr>
        <w:tc>
          <w:tcPr>
            <w:tcW w:w="760" w:type="dxa"/>
            <w:vAlign w:val="bottom"/>
            <w:shd w:val="clear" w:color="auto" w:fill="E7E7E2"/>
          </w:tcPr>
          <w:p>
            <w:pPr>
              <w:spacing w:after="0" w:line="162"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shd w:val="clear" w:color="auto" w:fill="E7E7E2"/>
          </w:tcPr>
          <w:p>
            <w:pPr>
              <w:spacing w:after="0"/>
              <w:rPr>
                <w:sz w:val="14"/>
                <w:szCs w:val="14"/>
                <w:color w:val="auto"/>
              </w:rPr>
            </w:pPr>
          </w:p>
        </w:tc>
        <w:tc>
          <w:tcPr>
            <w:tcW w:w="3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jc w:val="right"/>
              <w:spacing w:after="0" w:line="162" w:lineRule="exact"/>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ind w:left="20"/>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580" w:type="dxa"/>
            <w:vAlign w:val="bottom"/>
            <w:shd w:val="clear" w:color="auto" w:fill="E7E7E2"/>
          </w:tcPr>
          <w:p>
            <w:pPr>
              <w:spacing w:after="0"/>
              <w:rPr>
                <w:sz w:val="12"/>
                <w:szCs w:val="12"/>
                <w:color w:val="auto"/>
              </w:rPr>
            </w:pPr>
          </w:p>
        </w:tc>
        <w:tc>
          <w:tcPr>
            <w:tcW w:w="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shd w:val="clear" w:color="auto" w:fill="E7E7E2"/>
          </w:tcPr>
          <w:p>
            <w:pPr>
              <w:spacing w:after="0"/>
              <w:rPr>
                <w:sz w:val="14"/>
                <w:szCs w:val="14"/>
                <w:color w:val="auto"/>
              </w:rPr>
            </w:pPr>
          </w:p>
        </w:tc>
        <w:tc>
          <w:tcPr>
            <w:tcW w:w="3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Carry Forward Securities</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E7E7E2"/>
          </w:tcPr>
          <w:p>
            <w:pPr>
              <w:spacing w:after="0" w:line="176"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$ 13,810.00</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4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$ 13,810.00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09" w:lineRule="exact"/>
        <w:rPr>
          <w:sz w:val="20"/>
          <w:szCs w:val="20"/>
          <w:color w:val="auto"/>
        </w:rPr>
      </w:pPr>
    </w:p>
    <w:p>
      <w:pPr>
        <w:ind w:left="200" w:right="140" w:hanging="169"/>
        <w:spacing w:after="0" w:line="235" w:lineRule="auto"/>
        <w:tabs>
          <w:tab w:leader="none" w:pos="200" w:val="left"/>
        </w:tabs>
        <w:numPr>
          <w:ilvl w:val="0"/>
          <w:numId w:val="80"/>
        </w:numPr>
        <w:rPr>
          <w:rFonts w:ascii="Arial" w:cs="Arial" w:eastAsia="Arial" w:hAnsi="Arial"/>
          <w:sz w:val="20"/>
          <w:szCs w:val="20"/>
          <w:color w:val="auto"/>
          <w:vertAlign w:val="superscript"/>
        </w:rPr>
      </w:pPr>
      <w:r>
        <w:rPr>
          <w:rFonts w:ascii="Arial" w:cs="Arial" w:eastAsia="Arial" w:hAnsi="Arial"/>
          <w:sz w:val="16"/>
          <w:szCs w:val="16"/>
          <w:color w:val="auto"/>
        </w:rPr>
        <w:t>(1) There are being registered hereunder such indeterminate number of shares of common stock and preferred stock, such indeterminate principal amount of debt securities, such indeterminate number of warrants to purchase common stock, preferred stock or debt securities, such indeterminate number of shares of common stock issuable pursuant to subscription rights and such indeterminate number of units as may be sold by the registrant from time to time, which together shall have an aggregate initial offering price not to exceed $100,000,000. If any debt securities are issued at an original issue discount, then the principal amount of such debt securities shall be in such greater amount as shall result in an aggregate initial offering price not to exceed $100,000,000, less the aggregate dollar amount of all securities previously issued hereunder. Any securities registered hereunder may be sold separately or in combination with other securities registered hereunder.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the shares being registered hereunder include such indeterminate number of shares of common stock and preferred stock as may be issuable with respect to the shares being registered hereunder as a result of stock splits, stock dividends or similar transactions. (2) The registration fee has been calculated in accordance with Rule 457(o)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391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4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8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ind w:left="54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9"/>
              </w:rPr>
              <w:t>Unsold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8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9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Unsold</w:t>
            </w:r>
          </w:p>
        </w:tc>
        <w:tc>
          <w:tcPr>
            <w:tcW w:w="9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Aggregate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40" w:type="dxa"/>
            <w:vAlign w:val="bottom"/>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Form</w:t>
            </w:r>
          </w:p>
        </w:tc>
        <w:tc>
          <w:tcPr>
            <w:tcW w:w="82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Initial</w:t>
            </w:r>
          </w:p>
        </w:tc>
        <w:tc>
          <w:tcPr>
            <w:tcW w:w="780" w:type="dxa"/>
            <w:vAlign w:val="bottom"/>
          </w:tcPr>
          <w:p>
            <w:pPr>
              <w:spacing w:after="0"/>
              <w:rPr>
                <w:sz w:val="15"/>
                <w:szCs w:val="15"/>
                <w:color w:val="auto"/>
              </w:rPr>
            </w:pPr>
          </w:p>
        </w:tc>
        <w:tc>
          <w:tcPr>
            <w:tcW w:w="82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rPr>
              <w:t>Fee</w:t>
            </w:r>
          </w:p>
        </w:tc>
        <w:tc>
          <w:tcPr>
            <w:tcW w:w="9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6"/>
              </w:rPr>
              <w:t>Type</w:t>
            </w:r>
          </w:p>
        </w:tc>
        <w:tc>
          <w:tcPr>
            <w:tcW w:w="8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Title</w:t>
            </w:r>
          </w:p>
        </w:tc>
        <w:tc>
          <w:tcPr>
            <w:tcW w:w="9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Securities</w:t>
            </w:r>
          </w:p>
        </w:tc>
        <w:tc>
          <w:tcPr>
            <w:tcW w:w="9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Offering</w:t>
            </w:r>
          </w:p>
        </w:tc>
        <w:tc>
          <w:tcPr>
            <w:tcW w:w="880" w:type="dxa"/>
            <w:vAlign w:val="bottom"/>
          </w:tcPr>
          <w:p>
            <w:pPr>
              <w:jc w:val="center"/>
              <w:ind w:right="4"/>
              <w:spacing w:after="0" w:line="182" w:lineRule="exact"/>
              <w:rPr>
                <w:sz w:val="20"/>
                <w:szCs w:val="20"/>
                <w:color w:val="auto"/>
              </w:rPr>
            </w:pPr>
            <w:r>
              <w:rPr>
                <w:rFonts w:ascii="Arial" w:cs="Arial" w:eastAsia="Arial" w:hAnsi="Arial"/>
                <w:sz w:val="16"/>
                <w:szCs w:val="16"/>
                <w:b w:val="1"/>
                <w:bCs w:val="1"/>
                <w:color w:val="auto"/>
              </w:rPr>
              <w:t>Fee Paid</w:t>
            </w:r>
          </w:p>
        </w:tc>
        <w:tc>
          <w:tcPr>
            <w:tcW w:w="0" w:type="dxa"/>
            <w:vAlign w:val="bottom"/>
          </w:tcPr>
          <w:p>
            <w:pPr>
              <w:spacing w:after="0"/>
              <w:rPr>
                <w:sz w:val="1"/>
                <w:szCs w:val="1"/>
                <w:color w:val="auto"/>
              </w:rPr>
            </w:pPr>
          </w:p>
        </w:tc>
      </w:tr>
      <w:tr>
        <w:trPr>
          <w:trHeight w:val="91"/>
        </w:trPr>
        <w:tc>
          <w:tcPr>
            <w:tcW w:w="2840" w:type="dxa"/>
            <w:vAlign w:val="bottom"/>
            <w:vMerge w:val="restart"/>
          </w:tcPr>
          <w:p>
            <w:pPr>
              <w:jc w:val="center"/>
              <w:ind w:left="1446"/>
              <w:spacing w:after="0"/>
              <w:rPr>
                <w:sz w:val="20"/>
                <w:szCs w:val="20"/>
                <w:color w:val="auto"/>
              </w:rPr>
            </w:pPr>
            <w:r>
              <w:rPr>
                <w:rFonts w:ascii="Arial" w:cs="Arial" w:eastAsia="Arial" w:hAnsi="Arial"/>
                <w:sz w:val="16"/>
                <w:szCs w:val="16"/>
                <w:b w:val="1"/>
                <w:bCs w:val="1"/>
                <w:color w:val="auto"/>
              </w:rPr>
              <w:t>Registrant or</w:t>
            </w:r>
          </w:p>
        </w:tc>
        <w:tc>
          <w:tcPr>
            <w:tcW w:w="640" w:type="dxa"/>
            <w:vAlign w:val="bottom"/>
            <w:vMerge w:val="restart"/>
          </w:tcPr>
          <w:p>
            <w:pPr>
              <w:jc w:val="center"/>
              <w:ind w:left="4"/>
              <w:spacing w:after="0"/>
              <w:rPr>
                <w:sz w:val="20"/>
                <w:szCs w:val="20"/>
                <w:color w:val="auto"/>
              </w:rPr>
            </w:pPr>
            <w:r>
              <w:rPr>
                <w:rFonts w:ascii="Arial" w:cs="Arial" w:eastAsia="Arial" w:hAnsi="Arial"/>
                <w:sz w:val="16"/>
                <w:szCs w:val="16"/>
                <w:b w:val="1"/>
                <w:bCs w:val="1"/>
                <w:color w:val="auto"/>
                <w:w w:val="99"/>
              </w:rPr>
              <w:t>or</w:t>
            </w: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w:t>
            </w:r>
          </w:p>
        </w:tc>
        <w:tc>
          <w:tcPr>
            <w:tcW w:w="780" w:type="dxa"/>
            <w:vAlign w:val="bottom"/>
            <w:vMerge w:val="continue"/>
          </w:tcPr>
          <w:p>
            <w:pPr>
              <w:spacing w:after="0"/>
              <w:rPr>
                <w:sz w:val="7"/>
                <w:szCs w:val="7"/>
                <w:color w:val="auto"/>
              </w:rPr>
            </w:pPr>
          </w:p>
        </w:tc>
        <w:tc>
          <w:tcPr>
            <w:tcW w:w="780" w:type="dxa"/>
            <w:vAlign w:val="bottom"/>
            <w:vMerge w:val="restart"/>
          </w:tcPr>
          <w:p>
            <w:pPr>
              <w:jc w:val="center"/>
              <w:ind w:left="9"/>
              <w:spacing w:after="0"/>
              <w:rPr>
                <w:sz w:val="20"/>
                <w:szCs w:val="20"/>
                <w:color w:val="auto"/>
              </w:rPr>
            </w:pPr>
            <w:r>
              <w:rPr>
                <w:rFonts w:ascii="Arial" w:cs="Arial" w:eastAsia="Arial" w:hAnsi="Arial"/>
                <w:sz w:val="16"/>
                <w:szCs w:val="16"/>
                <w:b w:val="1"/>
                <w:bCs w:val="1"/>
                <w:color w:val="auto"/>
                <w:w w:val="98"/>
              </w:rPr>
              <w:t>Filing</w:t>
            </w:r>
          </w:p>
        </w:tc>
        <w:tc>
          <w:tcPr>
            <w:tcW w:w="820" w:type="dxa"/>
            <w:vAlign w:val="bottom"/>
            <w:vMerge w:val="continue"/>
          </w:tcPr>
          <w:p>
            <w:pPr>
              <w:spacing w:after="0"/>
              <w:rPr>
                <w:sz w:val="7"/>
                <w:szCs w:val="7"/>
                <w:color w:val="auto"/>
              </w:rPr>
            </w:pPr>
          </w:p>
        </w:tc>
        <w:tc>
          <w:tcPr>
            <w:tcW w:w="276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Associated Associated Associated</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Amount</w:t>
            </w:r>
          </w:p>
        </w:tc>
        <w:tc>
          <w:tcPr>
            <w:tcW w:w="880" w:type="dxa"/>
            <w:vAlign w:val="bottom"/>
            <w:vMerge w:val="restart"/>
          </w:tcPr>
          <w:p>
            <w:pPr>
              <w:jc w:val="center"/>
              <w:ind w:right="4"/>
              <w:spacing w:after="0"/>
              <w:rPr>
                <w:sz w:val="20"/>
                <w:szCs w:val="20"/>
                <w:color w:val="auto"/>
              </w:rPr>
            </w:pPr>
            <w:r>
              <w:rPr>
                <w:rFonts w:ascii="Arial" w:cs="Arial" w:eastAsia="Arial" w:hAnsi="Arial"/>
                <w:sz w:val="16"/>
                <w:szCs w:val="16"/>
                <w:b w:val="1"/>
                <w:bCs w:val="1"/>
                <w:color w:val="auto"/>
                <w:w w:val="99"/>
              </w:rPr>
              <w:t>with Fee</w:t>
            </w:r>
          </w:p>
        </w:tc>
        <w:tc>
          <w:tcPr>
            <w:tcW w:w="0" w:type="dxa"/>
            <w:vAlign w:val="bottom"/>
          </w:tcPr>
          <w:p>
            <w:pPr>
              <w:spacing w:after="0"/>
              <w:rPr>
                <w:sz w:val="1"/>
                <w:szCs w:val="1"/>
                <w:color w:val="auto"/>
              </w:rPr>
            </w:pPr>
          </w:p>
        </w:tc>
      </w:tr>
      <w:tr>
        <w:trPr>
          <w:trHeight w:val="162"/>
        </w:trPr>
        <w:tc>
          <w:tcPr>
            <w:tcW w:w="2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Filing</w:t>
            </w:r>
          </w:p>
        </w:tc>
        <w:tc>
          <w:tcPr>
            <w:tcW w:w="780" w:type="dxa"/>
            <w:vAlign w:val="bottom"/>
            <w:vMerge w:val="continue"/>
          </w:tcPr>
          <w:p>
            <w:pPr>
              <w:spacing w:after="0"/>
              <w:rPr>
                <w:sz w:val="14"/>
                <w:szCs w:val="14"/>
                <w:color w:val="auto"/>
              </w:rPr>
            </w:pPr>
          </w:p>
        </w:tc>
        <w:tc>
          <w:tcPr>
            <w:tcW w:w="82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rPr>
              <w:t>Offset</w:t>
            </w:r>
          </w:p>
        </w:tc>
        <w:tc>
          <w:tcPr>
            <w:tcW w:w="276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840" w:type="dxa"/>
            <w:vAlign w:val="bottom"/>
          </w:tcPr>
          <w:p>
            <w:pPr>
              <w:jc w:val="center"/>
              <w:ind w:left="1466"/>
              <w:spacing w:after="0" w:line="110" w:lineRule="exact"/>
              <w:rPr>
                <w:sz w:val="20"/>
                <w:szCs w:val="20"/>
                <w:color w:val="auto"/>
              </w:rPr>
            </w:pPr>
            <w:r>
              <w:rPr>
                <w:rFonts w:ascii="Arial" w:cs="Arial" w:eastAsia="Arial" w:hAnsi="Arial"/>
                <w:sz w:val="12"/>
                <w:szCs w:val="12"/>
                <w:b w:val="1"/>
                <w:bCs w:val="1"/>
                <w:color w:val="auto"/>
              </w:rPr>
              <w:t>Filer Name</w:t>
            </w:r>
          </w:p>
        </w:tc>
        <w:tc>
          <w:tcPr>
            <w:tcW w:w="6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Filing</w:t>
            </w:r>
          </w:p>
        </w:tc>
        <w:tc>
          <w:tcPr>
            <w:tcW w:w="820" w:type="dxa"/>
            <w:vAlign w:val="bottom"/>
          </w:tcPr>
          <w:p>
            <w:pPr>
              <w:jc w:val="center"/>
              <w:ind w:right="9"/>
              <w:spacing w:after="0" w:line="110" w:lineRule="exact"/>
              <w:rPr>
                <w:sz w:val="20"/>
                <w:szCs w:val="20"/>
                <w:color w:val="auto"/>
              </w:rPr>
            </w:pPr>
            <w:r>
              <w:rPr>
                <w:rFonts w:ascii="Arial" w:cs="Arial" w:eastAsia="Arial" w:hAnsi="Arial"/>
                <w:sz w:val="12"/>
                <w:szCs w:val="12"/>
                <w:b w:val="1"/>
                <w:bCs w:val="1"/>
                <w:color w:val="auto"/>
              </w:rPr>
              <w:t>Number</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Date</w:t>
            </w:r>
          </w:p>
        </w:tc>
        <w:tc>
          <w:tcPr>
            <w:tcW w:w="780" w:type="dxa"/>
            <w:vAlign w:val="bottom"/>
          </w:tcPr>
          <w:p>
            <w:pPr>
              <w:jc w:val="center"/>
              <w:ind w:left="9"/>
              <w:spacing w:after="0" w:line="110" w:lineRule="exact"/>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rPr>
              <w:t>Claimed</w:t>
            </w:r>
          </w:p>
        </w:tc>
        <w:tc>
          <w:tcPr>
            <w:tcW w:w="9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with Fee</w:t>
            </w:r>
          </w:p>
        </w:tc>
        <w:tc>
          <w:tcPr>
            <w:tcW w:w="8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with Fee</w:t>
            </w:r>
          </w:p>
        </w:tc>
        <w:tc>
          <w:tcPr>
            <w:tcW w:w="9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with Fee</w:t>
            </w:r>
          </w:p>
        </w:tc>
        <w:tc>
          <w:tcPr>
            <w:tcW w:w="9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Associated</w:t>
            </w:r>
          </w:p>
        </w:tc>
        <w:tc>
          <w:tcPr>
            <w:tcW w:w="880" w:type="dxa"/>
            <w:vAlign w:val="bottom"/>
          </w:tcPr>
          <w:p>
            <w:pPr>
              <w:jc w:val="center"/>
              <w:ind w:right="4"/>
              <w:spacing w:after="0" w:line="110" w:lineRule="exact"/>
              <w:rPr>
                <w:sz w:val="20"/>
                <w:szCs w:val="20"/>
                <w:color w:val="auto"/>
              </w:rPr>
            </w:pPr>
            <w:r>
              <w:rPr>
                <w:rFonts w:ascii="Arial" w:cs="Arial" w:eastAsia="Arial" w:hAnsi="Arial"/>
                <w:sz w:val="12"/>
                <w:szCs w:val="12"/>
                <w:b w:val="1"/>
                <w:bCs w:val="1"/>
                <w:color w:val="auto"/>
              </w:rPr>
              <w:t>Offset</w:t>
            </w:r>
          </w:p>
        </w:tc>
        <w:tc>
          <w:tcPr>
            <w:tcW w:w="0" w:type="dxa"/>
            <w:vAlign w:val="bottom"/>
          </w:tcPr>
          <w:p>
            <w:pPr>
              <w:spacing w:after="0"/>
              <w:rPr>
                <w:sz w:val="1"/>
                <w:szCs w:val="1"/>
                <w:color w:val="auto"/>
              </w:rPr>
            </w:pPr>
          </w:p>
        </w:tc>
      </w:tr>
      <w:tr>
        <w:trPr>
          <w:trHeight w:val="131"/>
        </w:trPr>
        <w:tc>
          <w:tcPr>
            <w:tcW w:w="2840" w:type="dxa"/>
            <w:vAlign w:val="bottom"/>
          </w:tcPr>
          <w:p>
            <w:pPr>
              <w:spacing w:after="0"/>
              <w:rPr>
                <w:sz w:val="11"/>
                <w:szCs w:val="11"/>
                <w:color w:val="auto"/>
              </w:rPr>
            </w:pPr>
          </w:p>
        </w:tc>
        <w:tc>
          <w:tcPr>
            <w:tcW w:w="640" w:type="dxa"/>
            <w:vAlign w:val="bottom"/>
            <w:vMerge w:val="restart"/>
          </w:tcPr>
          <w:p>
            <w:pPr>
              <w:jc w:val="center"/>
              <w:spacing w:after="0" w:line="182" w:lineRule="exact"/>
              <w:rPr>
                <w:sz w:val="20"/>
                <w:szCs w:val="20"/>
                <w:color w:val="auto"/>
              </w:rPr>
            </w:pPr>
            <w:r>
              <w:rPr>
                <w:rFonts w:ascii="Arial" w:cs="Arial" w:eastAsia="Arial" w:hAnsi="Arial"/>
                <w:sz w:val="16"/>
                <w:szCs w:val="16"/>
                <w:b w:val="1"/>
                <w:bCs w:val="1"/>
                <w:color w:val="auto"/>
              </w:rPr>
              <w:t>Type</w:t>
            </w:r>
          </w:p>
        </w:tc>
        <w:tc>
          <w:tcPr>
            <w:tcW w:w="8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940" w:type="dxa"/>
            <w:vAlign w:val="bottom"/>
            <w:vMerge w:val="restart"/>
          </w:tcPr>
          <w:p>
            <w:pPr>
              <w:jc w:val="center"/>
              <w:spacing w:after="0" w:line="182" w:lineRule="exact"/>
              <w:rPr>
                <w:sz w:val="20"/>
                <w:szCs w:val="20"/>
                <w:color w:val="auto"/>
              </w:rPr>
            </w:pPr>
            <w:r>
              <w:rPr>
                <w:rFonts w:ascii="Arial" w:cs="Arial" w:eastAsia="Arial" w:hAnsi="Arial"/>
                <w:sz w:val="16"/>
                <w:szCs w:val="16"/>
                <w:b w:val="1"/>
                <w:bCs w:val="1"/>
                <w:color w:val="auto"/>
              </w:rPr>
              <w:t>Offset</w:t>
            </w:r>
          </w:p>
        </w:tc>
        <w:tc>
          <w:tcPr>
            <w:tcW w:w="860" w:type="dxa"/>
            <w:vAlign w:val="bottom"/>
            <w:vMerge w:val="restart"/>
          </w:tcPr>
          <w:p>
            <w:pPr>
              <w:jc w:val="center"/>
              <w:spacing w:after="0" w:line="182" w:lineRule="exact"/>
              <w:rPr>
                <w:sz w:val="20"/>
                <w:szCs w:val="20"/>
                <w:color w:val="auto"/>
              </w:rPr>
            </w:pPr>
            <w:r>
              <w:rPr>
                <w:rFonts w:ascii="Arial" w:cs="Arial" w:eastAsia="Arial" w:hAnsi="Arial"/>
                <w:sz w:val="16"/>
                <w:szCs w:val="16"/>
                <w:b w:val="1"/>
                <w:bCs w:val="1"/>
                <w:color w:val="auto"/>
                <w:w w:val="99"/>
              </w:rPr>
              <w:t>Offset</w:t>
            </w:r>
          </w:p>
        </w:tc>
        <w:tc>
          <w:tcPr>
            <w:tcW w:w="960" w:type="dxa"/>
            <w:vAlign w:val="bottom"/>
            <w:vMerge w:val="restart"/>
          </w:tcPr>
          <w:p>
            <w:pPr>
              <w:jc w:val="center"/>
              <w:spacing w:after="0" w:line="182" w:lineRule="exact"/>
              <w:rPr>
                <w:sz w:val="20"/>
                <w:szCs w:val="20"/>
                <w:color w:val="auto"/>
              </w:rPr>
            </w:pPr>
            <w:r>
              <w:rPr>
                <w:rFonts w:ascii="Arial" w:cs="Arial" w:eastAsia="Arial" w:hAnsi="Arial"/>
                <w:sz w:val="16"/>
                <w:szCs w:val="16"/>
                <w:b w:val="1"/>
                <w:bCs w:val="1"/>
                <w:color w:val="auto"/>
                <w:w w:val="99"/>
              </w:rPr>
              <w:t>Offset</w:t>
            </w:r>
          </w:p>
        </w:tc>
        <w:tc>
          <w:tcPr>
            <w:tcW w:w="980" w:type="dxa"/>
            <w:vAlign w:val="bottom"/>
            <w:vMerge w:val="restart"/>
          </w:tcPr>
          <w:p>
            <w:pPr>
              <w:jc w:val="center"/>
              <w:spacing w:after="0" w:line="182" w:lineRule="exact"/>
              <w:rPr>
                <w:sz w:val="20"/>
                <w:szCs w:val="20"/>
                <w:color w:val="auto"/>
              </w:rPr>
            </w:pPr>
            <w:r>
              <w:rPr>
                <w:rFonts w:ascii="Arial" w:cs="Arial" w:eastAsia="Arial" w:hAnsi="Arial"/>
                <w:sz w:val="16"/>
                <w:szCs w:val="16"/>
                <w:b w:val="1"/>
                <w:bCs w:val="1"/>
                <w:color w:val="auto"/>
              </w:rPr>
              <w:t>with Fee</w:t>
            </w:r>
          </w:p>
        </w:tc>
        <w:tc>
          <w:tcPr>
            <w:tcW w:w="880" w:type="dxa"/>
            <w:vAlign w:val="bottom"/>
            <w:vMerge w:val="restart"/>
          </w:tcPr>
          <w:p>
            <w:pPr>
              <w:jc w:val="center"/>
              <w:ind w:right="4"/>
              <w:spacing w:after="0" w:line="182" w:lineRule="exact"/>
              <w:rPr>
                <w:sz w:val="20"/>
                <w:szCs w:val="20"/>
                <w:color w:val="auto"/>
              </w:rPr>
            </w:pPr>
            <w:r>
              <w:rPr>
                <w:rFonts w:ascii="Arial" w:cs="Arial" w:eastAsia="Arial" w:hAnsi="Arial"/>
                <w:sz w:val="16"/>
                <w:szCs w:val="16"/>
                <w:b w:val="1"/>
                <w:bCs w:val="1"/>
                <w:color w:val="auto"/>
              </w:rPr>
              <w:t>Source</w:t>
            </w:r>
          </w:p>
        </w:tc>
        <w:tc>
          <w:tcPr>
            <w:tcW w:w="0" w:type="dxa"/>
            <w:vAlign w:val="bottom"/>
          </w:tcPr>
          <w:p>
            <w:pPr>
              <w:spacing w:after="0"/>
              <w:rPr>
                <w:sz w:val="1"/>
                <w:szCs w:val="1"/>
                <w:color w:val="auto"/>
              </w:rPr>
            </w:pPr>
          </w:p>
        </w:tc>
      </w:tr>
      <w:tr>
        <w:trPr>
          <w:trHeight w:val="50"/>
        </w:trPr>
        <w:tc>
          <w:tcPr>
            <w:tcW w:w="28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Claimed</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9"/>
              </w:rPr>
              <w:t>Offset</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-832485</wp:posOffset>
            </wp:positionV>
            <wp:extent cx="7172960" cy="14541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72960" cy="1454150"/>
                    </a:xfrm>
                    <a:prstGeom prst="rect">
                      <a:avLst/>
                    </a:prstGeom>
                    <a:noFill/>
                  </pic:spPr>
                </pic:pic>
              </a:graphicData>
            </a:graphic>
          </wp:anchor>
        </w:drawing>
      </w:r>
    </w:p>
    <w:p>
      <w:pPr>
        <w:ind w:left="9600"/>
        <w:spacing w:after="0"/>
        <w:rPr>
          <w:sz w:val="20"/>
          <w:szCs w:val="20"/>
          <w:color w:val="auto"/>
        </w:rPr>
      </w:pPr>
      <w:r>
        <w:rPr>
          <w:rFonts w:ascii="Arial" w:cs="Arial" w:eastAsia="Arial" w:hAnsi="Arial"/>
          <w:sz w:val="16"/>
          <w:szCs w:val="16"/>
          <w:b w:val="1"/>
          <w:bCs w:val="1"/>
          <w:color w:val="auto"/>
        </w:rPr>
        <w:t>Claimed</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Rules 457(b) and 0-11(a)(2)</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-109220</wp:posOffset>
            </wp:positionV>
            <wp:extent cx="7115810" cy="2438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15810" cy="2438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11581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15810" cy="85725"/>
                    </a:xfrm>
                    <a:prstGeom prst="rect">
                      <a:avLst/>
                    </a:prstGeom>
                    <a:noFill/>
                  </pic:spPr>
                </pic:pic>
              </a:graphicData>
            </a:graphic>
          </wp:anchor>
        </w:drawing>
      </w:r>
    </w:p>
    <w:p>
      <w:pPr>
        <w:sectPr>
          <w:pgSz w:w="11900" w:h="16838" w:orient="portrait"/>
          <w:cols w:equalWidth="0" w:num="1">
            <w:col w:w="11360"/>
          </w:cols>
          <w:pgMar w:left="300" w:top="140" w:right="239" w:bottom="0" w:gutter="0" w:footer="0" w:header="0"/>
        </w:sectPr>
      </w:pPr>
    </w:p>
    <w:bookmarkStart w:id="98" w:name="page99"/>
    <w:bookmarkEnd w:id="98"/>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7172960" cy="12592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72960" cy="12592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Plus Therapeutics,</w:t>
            </w: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shd w:val="clear" w:color="auto" w:fill="E7E7E2"/>
          </w:tcPr>
          <w:p>
            <w:pPr>
              <w:jc w:val="right"/>
              <w:ind w:right="119"/>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8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vMerge w:val="restart"/>
            <w:shd w:val="clear" w:color="auto" w:fill="E7E7E2"/>
          </w:tcPr>
          <w:p>
            <w:pPr>
              <w:jc w:val="right"/>
              <w:ind w:right="59"/>
              <w:spacing w:after="0"/>
              <w:rPr>
                <w:sz w:val="20"/>
                <w:szCs w:val="20"/>
                <w:color w:val="auto"/>
              </w:rPr>
            </w:pPr>
            <w:r>
              <w:rPr>
                <w:rFonts w:ascii="Arial" w:cs="Arial" w:eastAsia="Arial" w:hAnsi="Arial"/>
                <w:sz w:val="16"/>
                <w:szCs w:val="16"/>
                <w:color w:val="auto"/>
              </w:rPr>
              <w:t>1, 2</w:t>
            </w:r>
          </w:p>
        </w:tc>
        <w:tc>
          <w:tcPr>
            <w:tcW w:w="20" w:type="dxa"/>
            <w:vAlign w:val="bottom"/>
          </w:tcPr>
          <w:p>
            <w:pPr>
              <w:spacing w:after="0"/>
              <w:rPr>
                <w:sz w:val="7"/>
                <w:szCs w:val="7"/>
                <w:color w:val="auto"/>
              </w:rPr>
            </w:pPr>
          </w:p>
        </w:tc>
        <w:tc>
          <w:tcPr>
            <w:tcW w:w="14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vMerge w:val="restart"/>
            <w:shd w:val="clear" w:color="auto" w:fill="E7E7E2"/>
          </w:tcPr>
          <w:p>
            <w:pPr>
              <w:ind w:left="16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7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04/04/2025</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7"/>
                <w:szCs w:val="7"/>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7"/>
                <w:szCs w:val="7"/>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162"/>
        </w:trPr>
        <w:tc>
          <w:tcPr>
            <w:tcW w:w="860" w:type="dxa"/>
            <w:vAlign w:val="bottom"/>
            <w:shd w:val="clear" w:color="auto" w:fill="E7E7E2"/>
          </w:tcPr>
          <w:p>
            <w:pPr>
              <w:spacing w:after="0" w:line="162" w:lineRule="exact"/>
              <w:rPr>
                <w:sz w:val="20"/>
                <w:szCs w:val="20"/>
                <w:color w:val="auto"/>
              </w:rPr>
            </w:pPr>
            <w:r>
              <w:rPr>
                <w:rFonts w:ascii="Arial" w:cs="Arial" w:eastAsia="Arial" w:hAnsi="Arial"/>
                <w:sz w:val="16"/>
                <w:szCs w:val="16"/>
                <w:color w:val="auto"/>
              </w:rPr>
              <w:t>Claims</w:t>
            </w:r>
          </w:p>
        </w:tc>
        <w:tc>
          <w:tcPr>
            <w:tcW w:w="20" w:type="dxa"/>
            <w:vAlign w:val="bottom"/>
          </w:tcPr>
          <w:p>
            <w:pPr>
              <w:spacing w:after="0"/>
              <w:rPr>
                <w:sz w:val="14"/>
                <w:szCs w:val="14"/>
                <w:color w:val="auto"/>
              </w:rPr>
            </w:pPr>
          </w:p>
        </w:tc>
        <w:tc>
          <w:tcPr>
            <w:tcW w:w="5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shd w:val="clear" w:color="auto" w:fill="E7E7E2"/>
          </w:tcPr>
          <w:p>
            <w:pPr>
              <w:ind w:left="20"/>
              <w:spacing w:after="0" w:line="162" w:lineRule="exact"/>
              <w:rPr>
                <w:sz w:val="20"/>
                <w:szCs w:val="20"/>
                <w:color w:val="auto"/>
              </w:rPr>
            </w:pPr>
            <w:r>
              <w:rPr>
                <w:rFonts w:ascii="Arial" w:cs="Arial" w:eastAsia="Arial" w:hAnsi="Arial"/>
                <w:sz w:val="16"/>
                <w:szCs w:val="16"/>
                <w:color w:val="auto"/>
              </w:rPr>
              <w:t>Inc.</w:t>
            </w:r>
          </w:p>
        </w:tc>
        <w:tc>
          <w:tcPr>
            <w:tcW w:w="20" w:type="dxa"/>
            <w:vAlign w:val="bottom"/>
          </w:tcPr>
          <w:p>
            <w:pPr>
              <w:spacing w:after="0"/>
              <w:rPr>
                <w:sz w:val="14"/>
                <w:szCs w:val="14"/>
                <w:color w:val="auto"/>
              </w:rPr>
            </w:pPr>
          </w:p>
        </w:tc>
        <w:tc>
          <w:tcPr>
            <w:tcW w:w="5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jc w:val="right"/>
              <w:ind w:right="19"/>
              <w:spacing w:after="0" w:line="162" w:lineRule="exact"/>
              <w:rPr>
                <w:sz w:val="20"/>
                <w:szCs w:val="20"/>
                <w:color w:val="auto"/>
              </w:rPr>
            </w:pPr>
            <w:r>
              <w:rPr>
                <w:rFonts w:ascii="Arial" w:cs="Arial" w:eastAsia="Arial" w:hAnsi="Arial"/>
                <w:sz w:val="16"/>
                <w:szCs w:val="16"/>
                <w:color w:val="auto"/>
              </w:rPr>
              <w:t>286393</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jc w:val="right"/>
              <w:spacing w:after="0" w:line="162" w:lineRule="exact"/>
              <w:rPr>
                <w:sz w:val="20"/>
                <w:szCs w:val="20"/>
                <w:color w:val="auto"/>
              </w:rPr>
            </w:pPr>
            <w:r>
              <w:rPr>
                <w:rFonts w:ascii="Arial" w:cs="Arial" w:eastAsia="Arial" w:hAnsi="Arial"/>
                <w:sz w:val="16"/>
                <w:szCs w:val="16"/>
                <w:color w:val="auto"/>
              </w:rPr>
              <w:t>13,810.00</w:t>
            </w: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E7E7E2"/>
          </w:tcPr>
          <w:p>
            <w:pPr>
              <w:ind w:left="20"/>
              <w:spacing w:after="0" w:line="111" w:lineRule="exact"/>
              <w:rPr>
                <w:sz w:val="20"/>
                <w:szCs w:val="20"/>
                <w:color w:val="auto"/>
              </w:rPr>
            </w:pPr>
            <w:r>
              <w:rPr>
                <w:rFonts w:ascii="Arial" w:cs="Arial" w:eastAsia="Arial" w:hAnsi="Arial"/>
                <w:sz w:val="12"/>
                <w:szCs w:val="12"/>
                <w:color w:val="auto"/>
              </w:rPr>
              <w:t>$0.001 per</w:t>
            </w: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60" w:type="dxa"/>
            <w:vAlign w:val="bottom"/>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shd w:val="clear" w:color="auto" w:fill="E7E7E2"/>
          </w:tcPr>
          <w:p>
            <w:pPr>
              <w:ind w:left="20"/>
              <w:spacing w:after="0"/>
              <w:rPr>
                <w:sz w:val="20"/>
                <w:szCs w:val="20"/>
                <w:color w:val="auto"/>
              </w:rPr>
            </w:pPr>
            <w:r>
              <w:rPr>
                <w:rFonts w:ascii="Arial" w:cs="Arial" w:eastAsia="Arial" w:hAnsi="Arial"/>
                <w:sz w:val="16"/>
                <w:szCs w:val="16"/>
                <w:color w:val="auto"/>
              </w:rPr>
              <w:t>Plus Therapeutics,</w:t>
            </w:r>
          </w:p>
        </w:tc>
        <w:tc>
          <w:tcPr>
            <w:tcW w:w="20" w:type="dxa"/>
            <w:vAlign w:val="bottom"/>
          </w:tcPr>
          <w:p>
            <w:pPr>
              <w:spacing w:after="0"/>
              <w:rPr>
                <w:sz w:val="16"/>
                <w:szCs w:val="16"/>
                <w:color w:val="auto"/>
              </w:rPr>
            </w:pPr>
          </w:p>
        </w:tc>
        <w:tc>
          <w:tcPr>
            <w:tcW w:w="580" w:type="dxa"/>
            <w:vAlign w:val="bottom"/>
            <w:vMerge w:val="restart"/>
            <w:shd w:val="clear" w:color="auto" w:fill="E7E7E2"/>
          </w:tcPr>
          <w:p>
            <w:pPr>
              <w:ind w:left="16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16"/>
                <w:szCs w:val="16"/>
                <w:color w:val="auto"/>
              </w:rPr>
            </w:pPr>
          </w:p>
        </w:tc>
        <w:tc>
          <w:tcPr>
            <w:tcW w:w="720" w:type="dxa"/>
            <w:vAlign w:val="bottom"/>
            <w:shd w:val="clear" w:color="auto" w:fill="E7E7E2"/>
          </w:tcPr>
          <w:p>
            <w:pPr>
              <w:jc w:val="right"/>
              <w:ind w:right="119"/>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04/04/2025</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3"/>
        </w:trPr>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Inc.</w:t>
            </w:r>
          </w:p>
        </w:tc>
        <w:tc>
          <w:tcPr>
            <w:tcW w:w="20" w:type="dxa"/>
            <w:vAlign w:val="bottom"/>
          </w:tcPr>
          <w:p>
            <w:pPr>
              <w:spacing w:after="0"/>
              <w:rPr>
                <w:sz w:val="10"/>
                <w:szCs w:val="10"/>
                <w:color w:val="auto"/>
              </w:rPr>
            </w:pPr>
          </w:p>
        </w:tc>
        <w:tc>
          <w:tcPr>
            <w:tcW w:w="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E7E7E2"/>
          </w:tcPr>
          <w:p>
            <w:pPr>
              <w:jc w:val="right"/>
              <w:ind w:right="19"/>
              <w:spacing w:after="0"/>
              <w:rPr>
                <w:sz w:val="20"/>
                <w:szCs w:val="20"/>
                <w:color w:val="auto"/>
              </w:rPr>
            </w:pPr>
            <w:r>
              <w:rPr>
                <w:rFonts w:ascii="Arial" w:cs="Arial" w:eastAsia="Arial" w:hAnsi="Arial"/>
                <w:sz w:val="16"/>
                <w:szCs w:val="16"/>
                <w:color w:val="auto"/>
              </w:rPr>
              <w:t>286393</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194,082.78</w:t>
            </w:r>
          </w:p>
        </w:tc>
        <w:tc>
          <w:tcPr>
            <w:tcW w:w="0" w:type="dxa"/>
            <w:vAlign w:val="bottom"/>
          </w:tcPr>
          <w:p>
            <w:pPr>
              <w:spacing w:after="0"/>
              <w:rPr>
                <w:sz w:val="1"/>
                <w:szCs w:val="1"/>
                <w:color w:val="auto"/>
              </w:rPr>
            </w:pPr>
          </w:p>
        </w:tc>
      </w:tr>
      <w:tr>
        <w:trPr>
          <w:trHeight w:val="89"/>
        </w:trPr>
        <w:tc>
          <w:tcPr>
            <w:tcW w:w="8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continue"/>
            <w:shd w:val="clear" w:color="auto" w:fill="E7E7E2"/>
          </w:tcPr>
          <w:p>
            <w:pPr>
              <w:spacing w:after="0"/>
              <w:rPr>
                <w:sz w:val="7"/>
                <w:szCs w:val="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Rule 457(p) Statement of Withdrawal, Termination, or Completion:</w:t>
      </w:r>
    </w:p>
    <w:p>
      <w:pPr>
        <w:spacing w:after="0" w:line="93" w:lineRule="exact"/>
        <w:rPr>
          <w:sz w:val="20"/>
          <w:szCs w:val="20"/>
          <w:color w:val="auto"/>
        </w:rPr>
      </w:pPr>
    </w:p>
    <w:p>
      <w:pPr>
        <w:ind w:left="200" w:hanging="169"/>
        <w:spacing w:after="0"/>
        <w:tabs>
          <w:tab w:leader="none" w:pos="200" w:val="left"/>
        </w:tabs>
        <w:numPr>
          <w:ilvl w:val="0"/>
          <w:numId w:val="81"/>
        </w:numPr>
        <w:rPr>
          <w:rFonts w:ascii="Arial" w:cs="Arial" w:eastAsia="Arial" w:hAnsi="Arial"/>
          <w:sz w:val="20"/>
          <w:szCs w:val="20"/>
          <w:color w:val="auto"/>
          <w:vertAlign w:val="superscript"/>
        </w:rPr>
      </w:pPr>
      <w:r>
        <w:rPr>
          <w:rFonts w:ascii="Arial" w:cs="Arial" w:eastAsia="Arial" w:hAnsi="Arial"/>
          <w:sz w:val="16"/>
          <w:szCs w:val="16"/>
          <w:color w:val="auto"/>
        </w:rPr>
        <w:t>the Prior Registration Statement was not declared effective, no securities were sold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391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Offset Note</w:t>
      </w:r>
    </w:p>
    <w:p>
      <w:pPr>
        <w:spacing w:after="0" w:line="109" w:lineRule="exact"/>
        <w:rPr>
          <w:sz w:val="20"/>
          <w:szCs w:val="20"/>
          <w:color w:val="auto"/>
        </w:rPr>
      </w:pPr>
    </w:p>
    <w:p>
      <w:pPr>
        <w:ind w:left="200" w:right="180" w:hanging="169"/>
        <w:spacing w:after="0" w:line="234" w:lineRule="auto"/>
        <w:tabs>
          <w:tab w:leader="none" w:pos="200" w:val="left"/>
        </w:tabs>
        <w:numPr>
          <w:ilvl w:val="0"/>
          <w:numId w:val="82"/>
        </w:numPr>
        <w:rPr>
          <w:rFonts w:ascii="Arial" w:cs="Arial" w:eastAsia="Arial" w:hAnsi="Arial"/>
          <w:sz w:val="20"/>
          <w:szCs w:val="20"/>
          <w:color w:val="auto"/>
          <w:vertAlign w:val="superscript"/>
        </w:rPr>
      </w:pPr>
      <w:r>
        <w:rPr>
          <w:rFonts w:ascii="Arial" w:cs="Arial" w:eastAsia="Arial" w:hAnsi="Arial"/>
          <w:sz w:val="16"/>
          <w:szCs w:val="16"/>
          <w:color w:val="auto"/>
        </w:rPr>
        <w:t>A filing fee of $194,082.78 was previously paid in connection with the registration statement on Form S-3 (No. 333-286393) filed by the registrant on April 4, 2025 (the "Prior Registration Statement"). The registrant withdrew the Prior Registration Statement by filing a Form RW on June 23, 2025. As the Prior Registration Statement was not declared effective, no securities were sold thereunder. As of the date of this registration statement, an aggregate of $9,958.65 of the unused filing fees previously paid by the Registrant in connection with the filing of the Prior Registration Statement have been offset to pay for other filing fees due. Accordingly, $184,124.13 of the filing fees previously paid in connection with the Prior Registration Statement remains available to be used to offset the fee currently due and additional fees that may become due for future registration statements. In accordance with Rule 457(p) of the Securities Act, such previously paid filing fee will offset the filing fee of $13,810.00 currently due pursuant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391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6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ind w:left="7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400"/>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7"/>
                <w:szCs w:val="7"/>
                <w:color w:val="auto"/>
              </w:rPr>
            </w:pPr>
          </w:p>
        </w:tc>
        <w:tc>
          <w:tcPr>
            <w:tcW w:w="2020" w:type="dxa"/>
            <w:vAlign w:val="bottom"/>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660" w:type="dxa"/>
            <w:vAlign w:val="bottom"/>
            <w:vMerge w:val="restart"/>
            <w:shd w:val="clear" w:color="auto" w:fill="9ADAF6"/>
          </w:tcPr>
          <w:p>
            <w:pPr>
              <w:ind w:left="140"/>
              <w:spacing w:after="0" w:line="182"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restart"/>
            <w:shd w:val="clear" w:color="auto" w:fill="9ADAF6"/>
          </w:tcPr>
          <w:p>
            <w:pPr>
              <w:ind w:left="260"/>
              <w:spacing w:after="0" w:line="182" w:lineRule="exact"/>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vMerge w:val="restart"/>
            <w:shd w:val="clear" w:color="auto" w:fill="9ADAF6"/>
          </w:tcPr>
          <w:p>
            <w:pPr>
              <w:ind w:left="80"/>
              <w:spacing w:after="0" w:line="182"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restart"/>
            <w:shd w:val="clear" w:color="auto" w:fill="9ADAF6"/>
          </w:tcPr>
          <w:p>
            <w:pPr>
              <w:ind w:left="100"/>
              <w:spacing w:after="0" w:line="182"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920" w:type="dxa"/>
            <w:vAlign w:val="bottom"/>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380"/>
              <w:spacing w:after="0" w:line="182" w:lineRule="exact"/>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7"/>
                <w:szCs w:val="7"/>
                <w:color w:val="auto"/>
              </w:rPr>
            </w:pPr>
          </w:p>
        </w:tc>
        <w:tc>
          <w:tcPr>
            <w:tcW w:w="2020" w:type="dxa"/>
            <w:vAlign w:val="bottom"/>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660" w:type="dxa"/>
            <w:vAlign w:val="bottom"/>
            <w:vMerge w:val="restart"/>
            <w:shd w:val="clear" w:color="auto" w:fill="9ADAF6"/>
          </w:tcPr>
          <w:p>
            <w:pPr>
              <w:ind w:left="160"/>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1)"/>
      <w:numFmt w:val="decimal"/>
      <w:start w:val="1"/>
    </w:lvl>
    <w:lvl w:ilvl="1">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2"/>
    </w:lvl>
  </w:abstractNum>
  <w:abstractNum w:abstractNumId="23">
    <w:nsid w:val="70C6A529"/>
    <w:multiLevelType w:val="hybridMultilevel"/>
    <w:lvl w:ilvl="0">
      <w:lvlJc w:val="left"/>
      <w:lvlText w:val="(%1)"/>
      <w:numFmt w:val="lowerRoman"/>
      <w:start w:val="3"/>
    </w:lvl>
  </w:abstractNum>
  <w:abstractNum w:abstractNumId="24">
    <w:nsid w:val="520EEDD1"/>
    <w:multiLevelType w:val="hybridMultilevel"/>
    <w:lvl w:ilvl="0">
      <w:lvlJc w:val="left"/>
      <w:lvlText w:val="(%1)"/>
      <w:numFmt w:val="lowerRoman"/>
      <w:start w:val="5"/>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
    <w:nsid w:val="23F9C13C"/>
    <w:multiLevelType w:val="hybridMultilevel"/>
    <w:lvl w:ilvl="0">
      <w:lvlJc w:val="left"/>
      <w:lvlText w:val="(%1)"/>
      <w:numFmt w:val="decimal"/>
      <w:start w:val="2"/>
    </w:lvl>
  </w:abstractNum>
  <w:abstractNum w:abstractNumId="28">
    <w:nsid w:val="649BB77C"/>
    <w:multiLevelType w:val="hybridMultilevel"/>
    <w:lvl w:ilvl="0">
      <w:lvlJc w:val="left"/>
      <w:lvlText w:val="(%1)"/>
      <w:numFmt w:val="decimal"/>
      <w:start w:val="3"/>
    </w:lvl>
  </w:abstractNum>
  <w:abstractNum w:abstractNumId="29">
    <w:nsid w:val="275AC794"/>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0">
    <w:nsid w:val="3938657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1">
    <w:nsid w:val="1CF10FD8"/>
    <w:multiLevelType w:val="hybridMultilevel"/>
    <w:lvl w:ilvl="0">
      <w:lvlJc w:val="left"/>
      <w:lvlText w:val="(%1)"/>
      <w:numFmt w:val="lowerLetter"/>
      <w:start w:val="8"/>
    </w:lvl>
  </w:abstractNum>
  <w:abstractNum w:abstractNumId="32">
    <w:nsid w:val="180115BE"/>
    <w:multiLevelType w:val="hybridMultilevel"/>
    <w:lvl w:ilvl="0">
      <w:lvlJc w:val="left"/>
      <w:lvlText w:val="(%1)"/>
      <w:numFmt w:val="lowerLetter"/>
      <w:start w:val="10"/>
    </w:lvl>
  </w:abstractNum>
  <w:abstractNum w:abstractNumId="33">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4">
    <w:nsid w:val="47398C89"/>
    <w:multiLevelType w:val="hybridMultilevel"/>
    <w:lvl w:ilvl="0">
      <w:lvlJc w:val="left"/>
      <w:lvlText w:val="(%1)"/>
      <w:numFmt w:val="lowerRoman"/>
      <w:start w:val="2"/>
    </w:lvl>
  </w:abstractNum>
  <w:abstractNum w:abstractNumId="35">
    <w:nsid w:val="354FE9F9"/>
    <w:multiLevelType w:val="hybridMultilevel"/>
    <w:lvl w:ilvl="0">
      <w:lvlJc w:val="left"/>
      <w:lvlText w:val="(%1)"/>
      <w:numFmt w:val="lowerRoman"/>
      <w:start w:val="6"/>
    </w:lvl>
  </w:abstractNum>
  <w:abstractNum w:abstractNumId="36">
    <w:nsid w:val="15B5AF5C"/>
    <w:multiLevelType w:val="hybridMultilevel"/>
    <w:lvl w:ilvl="0">
      <w:lvlJc w:val="left"/>
      <w:lvlText w:val="(%1)"/>
      <w:numFmt w:val="lowerRoman"/>
      <w:start w:val="12"/>
    </w:lvl>
  </w:abstractNum>
  <w:abstractNum w:abstractNumId="37">
    <w:nsid w:val="741226BB"/>
    <w:multiLevelType w:val="hybridMultilevel"/>
    <w:lvl w:ilvl="0">
      <w:lvlJc w:val="left"/>
      <w:lvlText w:val="%1"/>
      <w:numFmt w:val="lowerRoman"/>
      <w:start w:val="1"/>
    </w:lvl>
    <w:lvl w:ilvl="1">
      <w:lvlJc w:val="left"/>
      <w:lvlText w:val="(%2)"/>
      <w:numFmt w:val="lowerRoman"/>
      <w:start w:val="17"/>
    </w:lvl>
  </w:abstractNum>
  <w:abstractNum w:abstractNumId="38">
    <w:nsid w:val="D34B6A8"/>
    <w:multiLevelType w:val="hybridMultilevel"/>
    <w:lvl w:ilvl="0">
      <w:lvlJc w:val="left"/>
      <w:lvlText w:val="(%1)"/>
      <w:numFmt w:val="lowerRoman"/>
      <w:start w:val="2"/>
    </w:lvl>
    <w:lvl w:ilvl="1">
      <w:lvlJc w:val="left"/>
      <w:lvlText w:val="%2"/>
      <w:numFmt w:val="lowerRoman"/>
      <w:start w:val="1"/>
    </w:lvl>
  </w:abstractNum>
  <w:abstractNum w:abstractNumId="39">
    <w:nsid w:val="10233C99"/>
    <w:multiLevelType w:val="hybridMultilevel"/>
    <w:lvl w:ilvl="0">
      <w:lvlJc w:val="left"/>
      <w:lvlText w:val="(%1)"/>
      <w:numFmt w:val="lowerRoman"/>
      <w:start w:val="4"/>
    </w:lvl>
    <w:lvl w:ilvl="1">
      <w:lvlJc w:val="left"/>
      <w:lvlText w:val="(%2)"/>
      <w:numFmt w:val="lowerRoman"/>
      <w:start w:val="19"/>
    </w:lvl>
  </w:abstractNum>
  <w:abstractNum w:abstractNumId="40">
    <w:nsid w:val="3F6AB60F"/>
    <w:multiLevelType w:val="hybridMultilevel"/>
    <w:lvl w:ilvl="0">
      <w:lvlJc w:val="left"/>
      <w:lvlText w:val="(%1)"/>
      <w:numFmt w:val="lowerRoman"/>
      <w:start w:val="21"/>
    </w:lvl>
  </w:abstractNum>
  <w:abstractNum w:abstractNumId="41">
    <w:nsid w:val="61574095"/>
    <w:multiLevelType w:val="hybridMultilevel"/>
    <w:lvl w:ilvl="0">
      <w:lvlJc w:val="left"/>
      <w:lvlText w:val="(%1)"/>
      <w:numFmt w:val="lowerRoman"/>
      <w:start w:val="24"/>
    </w:lvl>
  </w:abstractNum>
  <w:abstractNum w:abstractNumId="42">
    <w:nsid w:val="7E0C57B1"/>
    <w:multiLevelType w:val="hybridMultilevel"/>
    <w:lvl w:ilvl="0">
      <w:lvlJc w:val="left"/>
      <w:lvlText w:val="%1"/>
      <w:numFmt w:val="lowerRoman"/>
      <w:start w:val="1"/>
    </w:lvl>
    <w:lvl w:ilvl="1">
      <w:lvlJc w:val="left"/>
      <w:lvlText w:val="(%2)"/>
      <w:numFmt w:val="lowerRoman"/>
      <w:start w:val="29"/>
    </w:lvl>
  </w:abstractNum>
  <w:abstractNum w:abstractNumId="43">
    <w:nsid w:val="77AE35EB"/>
    <w:multiLevelType w:val="hybridMultilevel"/>
    <w:lvl w:ilvl="0">
      <w:lvlJc w:val="left"/>
      <w:lvlText w:val="(%1)"/>
      <w:numFmt w:val="lowerRoman"/>
      <w:start w:val="1"/>
    </w:lvl>
    <w:lvl w:ilvl="1">
      <w:lvlJc w:val="left"/>
      <w:lvlText w:val="(%2)"/>
      <w:numFmt w:val="lowerRoman"/>
      <w:start w:val="33"/>
    </w:lvl>
  </w:abstractNum>
  <w:abstractNum w:abstractNumId="44">
    <w:nsid w:val="579BE4F1"/>
    <w:multiLevelType w:val="hybridMultilevel"/>
    <w:lvl w:ilvl="0">
      <w:lvlJc w:val="left"/>
      <w:lvlText w:val="(%1)"/>
      <w:numFmt w:val="lowerRoman"/>
      <w:start w:val="3"/>
    </w:lvl>
    <w:lvl w:ilvl="1">
      <w:lvlJc w:val="left"/>
      <w:lvlText w:val="%2"/>
      <w:numFmt w:val="lowerRoman"/>
      <w:start w:val="1"/>
    </w:lvl>
  </w:abstractNum>
  <w:abstractNum w:abstractNumId="45">
    <w:nsid w:val="310C50B3"/>
    <w:multiLevelType w:val="hybridMultilevel"/>
    <w:lvl w:ilvl="0">
      <w:lvlJc w:val="left"/>
      <w:lvlText w:val="(%1)"/>
      <w:numFmt w:val="upperLetter"/>
      <w:start w:val="4"/>
    </w:lvl>
    <w:lvl w:ilvl="1">
      <w:lvlJc w:val="left"/>
      <w:lvlText w:val="(%2)"/>
      <w:numFmt w:val="lowerRoman"/>
      <w:start w:val="35"/>
    </w:lvl>
  </w:abstractNum>
  <w:abstractNum w:abstractNumId="46">
    <w:nsid w:val="5FF87E05"/>
    <w:multiLevelType w:val="hybridMultilevel"/>
    <w:lvl w:ilvl="0">
      <w:lvlJc w:val="left"/>
      <w:lvlText w:val="(%1)"/>
      <w:numFmt w:val="decimal"/>
      <w:start w:val="12"/>
    </w:lvl>
  </w:abstractNum>
  <w:abstractNum w:abstractNumId="47">
    <w:nsid w:val="2F305DEF"/>
    <w:multiLevelType w:val="hybridMultilevel"/>
    <w:lvl w:ilvl="0">
      <w:lvlJc w:val="left"/>
      <w:lvlText w:val="(%1)"/>
      <w:numFmt w:val="lowerRoman"/>
      <w:start w:val="4"/>
    </w:lvl>
  </w:abstractNum>
  <w:abstractNum w:abstractNumId="48">
    <w:nsid w:val="25A70BF7"/>
    <w:multiLevelType w:val="hybridMultilevel"/>
    <w:lvl w:ilvl="0">
      <w:lvlJc w:val="left"/>
      <w:lvlText w:val="(%1)"/>
      <w:numFmt w:val="lowerLetter"/>
      <w:start w:val="12"/>
    </w:lvl>
  </w:abstractNum>
  <w:abstractNum w:abstractNumId="49">
    <w:nsid w:val="1DBABF0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50">
    <w:nsid w:val="4AD084E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1">
    <w:nsid w:val="1F48EAA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52">
    <w:nsid w:val="1381823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abstractNum>
  <w:abstractNum w:abstractNumId="53">
    <w:nsid w:val="5DB70AE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54">
    <w:nsid w:val="100F8FCA"/>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55">
    <w:nsid w:val="6590700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abstractNum>
  <w:abstractNum w:abstractNumId="56">
    <w:nsid w:val="15014ACB"/>
    <w:multiLevelType w:val="hybridMultilevel"/>
    <w:lvl w:ilvl="0">
      <w:lvlJc w:val="left"/>
      <w:lvlText w:val="(%1)"/>
      <w:numFmt w:val="lowerLetter"/>
      <w:start w:val="3"/>
    </w:lvl>
  </w:abstractNum>
  <w:abstractNum w:abstractNumId="57">
    <w:nsid w:val="5F5E7FD0"/>
    <w:multiLevelType w:val="hybridMultilevel"/>
    <w:lvl w:ilvl="0">
      <w:lvlJc w:val="left"/>
      <w:lvlText w:val="(%1)"/>
      <w:numFmt w:val="lowerLetter"/>
      <w:start w:val="8"/>
    </w:lvl>
  </w:abstractNum>
  <w:abstractNum w:abstractNumId="58">
    <w:nsid w:val="98A3148"/>
    <w:multiLevelType w:val="hybridMultilevel"/>
    <w:lvl w:ilvl="0">
      <w:lvlJc w:val="left"/>
      <w:lvlText w:val="(%1)"/>
      <w:numFmt w:val="lowerLetter"/>
      <w:start w:val="14"/>
    </w:lvl>
  </w:abstractNum>
  <w:abstractNum w:abstractNumId="59">
    <w:nsid w:val="799D0247"/>
    <w:multiLevelType w:val="hybridMultilevel"/>
    <w:lvl w:ilvl="0">
      <w:lvlJc w:val="left"/>
      <w:lvlText w:val="(%1)"/>
      <w:numFmt w:val="lowerLetter"/>
      <w:start w:val="61"/>
    </w:lvl>
    <w:lvl w:ilvl="1">
      <w:lvlJc w:val="left"/>
      <w:lvlText w:val="(%2)"/>
      <w:numFmt w:val="lowerLetter"/>
      <w:start w:val="16"/>
    </w:lvl>
  </w:abstractNum>
  <w:abstractNum w:abstractNumId="60">
    <w:nsid w:val="6B94764"/>
    <w:multiLevelType w:val="hybridMultilevel"/>
    <w:lvl w:ilvl="0">
      <w:lvlJc w:val="left"/>
      <w:lvlText w:val="%1"/>
      <w:numFmt w:val="decimal"/>
      <w:start w:val="1"/>
    </w:lvl>
    <w:lvl w:ilvl="1">
      <w:lvlJc w:val="left"/>
      <w:lvlText w:val="(%2)"/>
      <w:numFmt w:val="lowerLetter"/>
      <w:start w:val="19"/>
    </w:lvl>
  </w:abstractNum>
  <w:abstractNum w:abstractNumId="61">
    <w:nsid w:val="42C296BD"/>
    <w:multiLevelType w:val="hybridMultilevel"/>
    <w:lvl w:ilvl="0">
      <w:lvlJc w:val="left"/>
      <w:lvlText w:val="%1."/>
      <w:numFmt w:val="decimal"/>
      <w:start w:val="4"/>
    </w:lvl>
    <w:lvl w:ilvl="1">
      <w:lvlJc w:val="left"/>
      <w:lvlText w:val="(%2)"/>
      <w:numFmt w:val="lowerLetter"/>
      <w:start w:val="1"/>
    </w:lvl>
  </w:abstractNum>
  <w:abstractNum w:abstractNumId="62">
    <w:nsid w:val="168E121F"/>
    <w:multiLevelType w:val="hybridMultilevel"/>
    <w:lvl w:ilvl="0">
      <w:lvlJc w:val="left"/>
      <w:lvlText w:val="(%1)"/>
      <w:numFmt w:val="lowerLetter"/>
      <w:start w:val="5"/>
    </w:lvl>
  </w:abstractNum>
  <w:abstractNum w:abstractNumId="63">
    <w:nsid w:val="1EBA5D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4">
    <w:nsid w:val="661E3F1E"/>
    <w:multiLevelType w:val="hybridMultilevel"/>
    <w:lvl w:ilvl="0">
      <w:lvlJc w:val="left"/>
      <w:lvlText w:val="(%1)"/>
      <w:numFmt w:val="lowerLetter"/>
      <w:start w:val="2"/>
    </w:lvl>
  </w:abstractNum>
  <w:abstractNum w:abstractNumId="65">
    <w:nsid w:val="5DC79E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66">
    <w:nsid w:val="540A471C"/>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67">
    <w:nsid w:val="7BD3EE7B"/>
    <w:multiLevelType w:val="hybridMultilevel"/>
    <w:lvl w:ilvl="0">
      <w:lvlJc w:val="left"/>
      <w:lvlText w:val="%1"/>
      <w:numFmt w:val="decimal"/>
      <w:start w:val="1"/>
    </w:lvl>
    <w:lvl w:ilvl="1">
      <w:lvlJc w:val="left"/>
      <w:lvlText w:val="(%2)"/>
      <w:numFmt w:val="lowerLetter"/>
      <w:start w:val="2"/>
    </w:lvl>
  </w:abstractNum>
  <w:abstractNum w:abstractNumId="68">
    <w:nsid w:val="51D9C564"/>
    <w:multiLevelType w:val="hybridMultilevel"/>
    <w:lvl w:ilvl="0">
      <w:lvlJc w:val="left"/>
      <w:lvlText w:val="%1."/>
      <w:numFmt w:val="decimal"/>
      <w:start w:val="8"/>
    </w:lvl>
    <w:lvl w:ilvl="1">
      <w:lvlJc w:val="left"/>
      <w:lvlText w:val="%2"/>
      <w:numFmt w:val="lowerLetter"/>
      <w:start w:val="1"/>
    </w:lvl>
  </w:abstractNum>
  <w:abstractNum w:abstractNumId="69">
    <w:nsid w:val="613EFDC5"/>
    <w:multiLevelType w:val="hybridMultilevel"/>
    <w:lvl w:ilvl="0">
      <w:lvlJc w:val="left"/>
      <w:lvlText w:val="§"/>
      <w:numFmt w:val="bullet"/>
      <w:start w:val="1"/>
    </w:lvl>
    <w:lvl w:ilvl="1">
      <w:lvlJc w:val="left"/>
      <w:lvlText w:val="%2."/>
      <w:numFmt w:val="decimal"/>
      <w:start w:val="12"/>
    </w:lvl>
  </w:abstractNum>
  <w:abstractNum w:abstractNumId="70">
    <w:nsid w:val="BF72B14"/>
    <w:multiLevelType w:val="hybridMultilevel"/>
    <w:lvl w:ilvl="0">
      <w:lvlJc w:val="left"/>
      <w:lvlText w:val="§"/>
      <w:numFmt w:val="bullet"/>
      <w:start w:val="1"/>
    </w:lvl>
    <w:lvl w:ilvl="1">
      <w:lvlJc w:val="left"/>
      <w:lvlText w:val="%2."/>
      <w:numFmt w:val="decimal"/>
      <w:start w:val="15"/>
    </w:lvl>
  </w:abstractNum>
  <w:abstractNum w:abstractNumId="71">
    <w:nsid w:val="11447B73"/>
    <w:multiLevelType w:val="hybridMultilevel"/>
    <w:lvl w:ilvl="0">
      <w:lvlJc w:val="left"/>
      <w:lvlText w:val="%1."/>
      <w:numFmt w:val="decimal"/>
      <w:start w:val="16"/>
    </w:lvl>
  </w:abstractNum>
  <w:abstractNum w:abstractNumId="72">
    <w:nsid w:val="42963E5A"/>
    <w:multiLevelType w:val="hybridMultilevel"/>
    <w:lvl w:ilvl="0">
      <w:lvlJc w:val="left"/>
      <w:lvlText w:val="(%1)"/>
      <w:numFmt w:val="lowerRoman"/>
      <w:start w:val="1"/>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decimal"/>
      <w:start w:val="2"/>
    </w:lvl>
    <w:lvl w:ilvl="1">
      <w:lvlJc w:val="left"/>
      <w:lvlText w:val="(%2)"/>
      <w:numFmt w:val="lowerRoman"/>
      <w:start w:val="2"/>
    </w:lvl>
  </w:abstractNum>
  <w:abstractNum w:abstractNumId="76">
    <w:nsid w:val="3B0FD379"/>
    <w:multiLevelType w:val="hybridMultilevel"/>
    <w:lvl w:ilvl="0">
      <w:lvlJc w:val="left"/>
      <w:lvlText w:val="%1"/>
      <w:numFmt w:val="decimal"/>
      <w:start w:val="1"/>
    </w:lvl>
    <w:lvl w:ilvl="1">
      <w:lvlJc w:val="left"/>
      <w:lvlText w:val="(%2)"/>
      <w:numFmt w:val="lowerRoman"/>
      <w:start w:val="6"/>
    </w:lvl>
  </w:abstractNum>
  <w:abstractNum w:abstractNumId="77">
    <w:nsid w:val="68EB2F63"/>
    <w:multiLevelType w:val="hybridMultilevel"/>
    <w:lvl w:ilvl="0">
      <w:lvlJc w:val="left"/>
      <w:lvlText w:val="%1."/>
      <w:numFmt w:val="decimal"/>
      <w:start w:val="4"/>
    </w:lvl>
    <w:lvl w:ilvl="1">
      <w:lvlJc w:val="left"/>
      <w:lvlText w:val="%2"/>
      <w:numFmt w:val="lowerRoman"/>
      <w:start w:val="1"/>
    </w:lvl>
  </w:abstractNum>
  <w:abstractNum w:abstractNumId="78">
    <w:nsid w:val="4962813B"/>
    <w:multiLevelType w:val="hybridMultilevel"/>
    <w:lvl w:ilvl="0">
      <w:lvlJc w:val="left"/>
      <w:lvlText w:val="%1."/>
      <w:numFmt w:val="decimal"/>
      <w:start w:val="5"/>
    </w:lvl>
  </w:abstractNum>
  <w:abstractNum w:abstractNumId="79">
    <w:nsid w:val="60B6DF70"/>
    <w:multiLevelType w:val="hybridMultilevel"/>
    <w:lvl w:ilvl="0">
      <w:lvlJc w:val="left"/>
      <w:lvlText w:val="1"/>
      <w:numFmt w:val="bullet"/>
      <w:start w:val="1"/>
    </w:lvl>
  </w:abstractNum>
  <w:abstractNum w:abstractNumId="80">
    <w:nsid w:val="6A5EE64"/>
    <w:multiLevelType w:val="hybridMultilevel"/>
    <w:lvl w:ilvl="0">
      <w:lvlJc w:val="left"/>
      <w:lvlText w:val="1"/>
      <w:numFmt w:val="bullet"/>
      <w:start w:val="1"/>
    </w:lvl>
  </w:abstractNum>
  <w:abstractNum w:abstractNumId="81">
    <w:nsid w:val="1433062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jpe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jpe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jpe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jpe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jpe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59" Type="http://schemas.openxmlformats.org/officeDocument/2006/relationships/hyperlink" Target="http://www.sec.gov/ix?doc=/Archives/edgar/data/1095981/000119312526104258/pstv-20251231.htm" TargetMode="External"/><Relationship Id="rId60" Type="http://schemas.openxmlformats.org/officeDocument/2006/relationships/hyperlink" Target="http://www.sec.gov/ix?doc=/Archives/edgar/data/1095981/000119312526226978/pstv-20260331.htm" TargetMode="External"/><Relationship Id="rId61" Type="http://schemas.openxmlformats.org/officeDocument/2006/relationships/hyperlink" Target="http://www.sec.gov/ix?doc=/Archives/edgar/data/1095981/000119312526015346/d65677d8k.htm" TargetMode="External"/><Relationship Id="rId62" Type="http://schemas.openxmlformats.org/officeDocument/2006/relationships/hyperlink" Target="http://www.sec.gov/ix?doc=/Archives/edgar/data/1095981/000119312526018675/d90055d8k.htm" TargetMode="External"/><Relationship Id="rId63" Type="http://schemas.openxmlformats.org/officeDocument/2006/relationships/hyperlink" Target="http://www.sec.gov/ix?doc=/Archives/edgar/data/1095981/000119312526051379/pstv-20260209.htm" TargetMode="External"/><Relationship Id="rId64" Type="http://schemas.openxmlformats.org/officeDocument/2006/relationships/hyperlink" Target="http://www.sec.gov/ix?doc=/Archives/edgar/data/1095981/000119312526104291/pstv-20260311.htm" TargetMode="External"/><Relationship Id="rId65" Type="http://schemas.openxmlformats.org/officeDocument/2006/relationships/hyperlink" Target="http://www.sec.gov/ix?doc=/Archives/edgar/data/1095981/000119312526125195/pstv-20260320.htm" TargetMode="External"/><Relationship Id="rId66" Type="http://schemas.openxmlformats.org/officeDocument/2006/relationships/hyperlink" Target="http://www.sec.gov/ix?doc=/Archives/edgar/data/1095981/000119312526140267/pstv-20260401.htm" TargetMode="External"/><Relationship Id="rId67" Type="http://schemas.openxmlformats.org/officeDocument/2006/relationships/hyperlink" Target="http://www.sec.gov/ix?doc=/Archives/edgar/data/1095981/000119312526146335/pstv-20260408.htm" TargetMode="External"/><Relationship Id="rId68" Type="http://schemas.openxmlformats.org/officeDocument/2006/relationships/hyperlink" Target="http://www.sec.gov/ix?doc=/Archives/edgar/data/1095981/000119312526148920/pstv-20260408.htm" TargetMode="External"/><Relationship Id="rId69" Type="http://schemas.openxmlformats.org/officeDocument/2006/relationships/hyperlink" Target="http://www.sec.gov/ix?doc=/Archives/edgar/data/1095981/000119312526165205/pstv-20260420.htm" TargetMode="External"/><Relationship Id="rId70" Type="http://schemas.openxmlformats.org/officeDocument/2006/relationships/hyperlink" Target="http://www.sec.gov/Archives/edgar/data/1095981/000119312526226747/pstv-20260515.htm" TargetMode="External"/><Relationship Id="rId71" Type="http://schemas.openxmlformats.org/officeDocument/2006/relationships/hyperlink" Target="http://www.sec.gov/Archives/edgar/data/1095981/000156459020014165/pstv-ex41_202.htm" TargetMode="External"/><Relationship Id="rId115" Type="http://schemas.openxmlformats.org/officeDocument/2006/relationships/hyperlink" Target="http://www.sec.gov/Archives/edgar/data/1095981/000114036116057505/ex3_1.htm" TargetMode="External"/><Relationship Id="rId116" Type="http://schemas.openxmlformats.org/officeDocument/2006/relationships/hyperlink" Target="http://www.sec.gov/Archives/edgar/data/1095981/000156459018014245/cytx-ex31_6.htm" TargetMode="External"/><Relationship Id="rId117" Type="http://schemas.openxmlformats.org/officeDocument/2006/relationships/hyperlink" Target="http://www.sec.gov/Archives/edgar/data/1095981/000156459019026454/cytx-ex31_6.htm" TargetMode="External"/><Relationship Id="rId118" Type="http://schemas.openxmlformats.org/officeDocument/2006/relationships/hyperlink" Target="http://www.sec.gov/Archives/edgar/data/1095981/000156459019028996/pstv-ex31_18.htm" TargetMode="External"/><Relationship Id="rId119" Type="http://schemas.openxmlformats.org/officeDocument/2006/relationships/hyperlink" Target="http://www.sec.gov/Archives/edgar/data/1095981/000119312523127227/d475493dex31.htm" TargetMode="External"/><Relationship Id="rId120" Type="http://schemas.openxmlformats.org/officeDocument/2006/relationships/hyperlink" Target="http://www.sec.gov/Archives/edgar/data/1095981/000095017025062742/pstv-ex3_1.htm" TargetMode="External"/><Relationship Id="rId121" Type="http://schemas.openxmlformats.org/officeDocument/2006/relationships/hyperlink" Target="http://www.sec.gov/Archives/edgar/data/1095981/000119312526226978/pstv-ex3_8.htm" TargetMode="External"/><Relationship Id="rId122" Type="http://schemas.openxmlformats.org/officeDocument/2006/relationships/hyperlink" Target="http://www.sec.gov/Archives/edgar/data/1095981/000119312526226978/pstv-ex3_9.htm" TargetMode="External"/><Relationship Id="rId123" Type="http://schemas.openxmlformats.org/officeDocument/2006/relationships/hyperlink" Target="http://www.sec.gov/Archives/edgar/data/1095981/000156459017024297/cytx-ex31_6.htm" TargetMode="External"/><Relationship Id="rId124" Type="http://schemas.openxmlformats.org/officeDocument/2006/relationships/hyperlink" Target="http://www.sec.gov/Archives/edgar/data/1095981/000156459018017443/cytx-ex31_7.htm" TargetMode="External"/><Relationship Id="rId125" Type="http://schemas.openxmlformats.org/officeDocument/2006/relationships/hyperlink" Target="http://www.sec.gov/Archives/edgar/data/1095981/000119312521277718/d164672dex31.htm" TargetMode="External"/><Relationship Id="rId126" Type="http://schemas.openxmlformats.org/officeDocument/2006/relationships/hyperlink" Target="http://www.sec.gov/Archives/edgar/data/1095981/000156459018005136/cytx-ex433_277.htm" TargetMode="External"/><Relationship Id="rId127" Type="http://schemas.openxmlformats.org/officeDocument/2006/relationships/hyperlink" Target="http://www.sec.gov/Archives/edgar/data/1095981/000119312526008922/d12907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2026-06-02T05:13:14Z</dcterms:created>
  <dcterms:modified xsi:type="dcterms:W3CDTF">2026-06-02T05:13:14Z</dcterms:modified>
</cp:coreProperties>
</file>