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Plus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CVI Investments,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9,009,978.00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9,009,978.00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9,009,978.00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920"/>
          </w:cols>
          <w:pgMar w:left="320" w:top="111" w:right="49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6 and Row 8 above, Heights Capital Management, Inc. is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 manager to CVI Investments, Inc. and as such may exercise voting and dispositive power over the shares reported as beneficially owned by CVI Investments, Inc. herein.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Heights Capital Management,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9,009,978.00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9,009,978.00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080"/>
          </w:cols>
          <w:pgMar w:left="320" w:top="111" w:right="49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9,009,978.00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6 and Row 8 above, Heights Capital Management, Inc. is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 manager to CVI Investments, Inc. and as such may exercise voting and dispositive power over the shares reported as beneficially owned by CVI Investments, Inc. herein.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Plus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6420 Levit Green Boulevard, Suite 310, Houston, TX 77021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180" w:hanging="912"/>
        <w:spacing w:after="0" w:line="244"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is filed by the entities listed below, who are collectively referred to herein as "Reporting Persons," with respect to the shares of common stock of Plus Therapeutics, Inc. (the "Company"), $0.001 par value per share (the "Shares"). (i) CVI Investments, Inc. (ii) Heights Capital Management, Inc.</w:t>
      </w:r>
    </w:p>
    <w:p>
      <w:pPr>
        <w:spacing w:after="0" w:line="11"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right="100" w:hanging="912"/>
        <w:spacing w:after="0" w:line="256"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of the principal business office of CVI Investments, Inc. is: P.O. Box 309GT Ugland House South Church Street George Town Grand Cayman KY1-1104 Cayman Islands The address of the principal business office of Heights Capital Management, Inc. is: 101 California Street, Suite 3250 San Francisco, California 94111 Citizenship:</w:t>
      </w:r>
    </w:p>
    <w:p>
      <w:pPr>
        <w:spacing w:after="0" w:line="189" w:lineRule="exact"/>
        <w:rPr>
          <w:rFonts w:ascii="Times New Roman" w:cs="Times New Roman" w:eastAsia="Times New Roman" w:hAnsi="Times New Roman"/>
          <w:sz w:val="22"/>
          <w:szCs w:val="22"/>
          <w:color w:val="auto"/>
        </w:rPr>
      </w:pPr>
    </w:p>
    <w:p>
      <w:pPr>
        <w:ind w:left="960" w:right="28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Citizenship is set forth in Row 4 of the cover page for each Reporting Person hereto and is incorporated herein by reference for each such Reporting Person.</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ind w:left="960" w:hanging="912"/>
        <w:spacing w:after="0" w:line="180" w:lineRule="auto"/>
        <w:tabs>
          <w:tab w:leader="none" w:pos="960" w:val="left"/>
        </w:tabs>
        <w:numPr>
          <w:ilvl w:val="0"/>
          <w:numId w:val="8"/>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580" w:hanging="912"/>
        <w:spacing w:after="0" w:line="185" w:lineRule="auto"/>
        <w:tabs>
          <w:tab w:leader="none" w:pos="960" w:val="left"/>
        </w:tabs>
        <w:numPr>
          <w:ilvl w:val="0"/>
          <w:numId w:val="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38" w:orient="portrait"/>
          <w:cols w:equalWidth="0" w:num="1">
            <w:col w:w="11080"/>
          </w:cols>
          <w:pgMar w:left="320" w:top="111" w:right="499" w:bottom="0" w:gutter="0" w:footer="0" w:header="0"/>
        </w:sectPr>
      </w:pPr>
    </w:p>
    <w:bookmarkStart w:id="3" w:name="page4"/>
    <w:bookmarkEnd w:id="3"/>
    <w:p>
      <w:pPr>
        <w:spacing w:after="0" w:line="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80"/>
        <w:spacing w:after="0" w:line="253" w:lineRule="auto"/>
        <w:rPr>
          <w:sz w:val="20"/>
          <w:szCs w:val="20"/>
          <w:color w:val="auto"/>
        </w:rPr>
      </w:pPr>
      <w:r>
        <w:rPr>
          <w:rFonts w:ascii="Times New Roman" w:cs="Times New Roman" w:eastAsia="Times New Roman" w:hAnsi="Times New Roman"/>
          <w:sz w:val="21"/>
          <w:szCs w:val="21"/>
          <w:color w:val="auto"/>
        </w:rPr>
        <w:t>The information required by this Item 4(a) is set forth in Row 9 of the cover page for each Reporting Person hereto and is incorporated herein by reference for each such Reporting Person. The number of Shares reported as</w:t>
      </w:r>
    </w:p>
    <w:p>
      <w:pPr>
        <w:spacing w:after="0" w:line="1" w:lineRule="exact"/>
        <w:rPr>
          <w:sz w:val="20"/>
          <w:szCs w:val="20"/>
          <w:color w:val="auto"/>
        </w:rPr>
      </w:pPr>
    </w:p>
    <w:p>
      <w:pPr>
        <w:ind w:left="920" w:right="40" w:hanging="912"/>
        <w:spacing w:after="0" w:line="193" w:lineRule="auto"/>
        <w:tabs>
          <w:tab w:leader="none" w:pos="92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beneficially owned consists of Shares issuable upon the exercise of warrants to purchase Shares (the "Warrants"). The Warrants are not exercisable to the extent that the total number of Shares then beneficially owned by a Reporting Person and its affiliates and any other persons whose beneficial ownership of Shares would be aggregated with such Reporting Person for purposes of Section 13(d) of the Securities Exchange Act of 1934, as amended, would exceed</w:t>
      </w:r>
    </w:p>
    <w:p>
      <w:pPr>
        <w:spacing w:after="0" w:line="1" w:lineRule="exact"/>
        <w:rPr>
          <w:rFonts w:ascii="Times New Roman" w:cs="Times New Roman" w:eastAsia="Times New Roman" w:hAnsi="Times New Roman"/>
          <w:sz w:val="42"/>
          <w:szCs w:val="42"/>
          <w:color w:val="auto"/>
          <w:vertAlign w:val="subscript"/>
        </w:rPr>
      </w:pPr>
    </w:p>
    <w:p>
      <w:pPr>
        <w:ind w:left="920" w:right="200"/>
        <w:spacing w:after="0" w:line="237"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4.99%. The Company's Definitive Proxy Statement on Schedule 14A, filed on March 31, 2026, indicates there were 171,550,698 Shares outstanding as of March 18, 2026.</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6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 is set forth in Row 5 of the cover page for each Reporting Person hereto and is incorporated herein by reference for each such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line="238" w:lineRule="auto"/>
        <w:rPr>
          <w:sz w:val="20"/>
          <w:szCs w:val="20"/>
          <w:color w:val="auto"/>
        </w:rPr>
      </w:pPr>
      <w:r>
        <w:rPr>
          <w:rFonts w:ascii="Times New Roman" w:cs="Times New Roman" w:eastAsia="Times New Roman" w:hAnsi="Times New Roman"/>
          <w:sz w:val="22"/>
          <w:szCs w:val="22"/>
          <w:color w:val="auto"/>
        </w:rPr>
        <w:t>The information required by this Item 4(c)(ii) is set forth in Row 6 of the cover page for each Reporting Person hereto and is incorporated herein by reference for each such Reporting Person. 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w:t>
      </w:r>
    </w:p>
    <w:p>
      <w:pPr>
        <w:spacing w:after="0" w:line="2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4(c)(iii) is set forth in Row 7 of the cover page for each Reporting Person hereto and is incorporated herein by reference for each such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120"/>
        <w:spacing w:after="0" w:line="238" w:lineRule="auto"/>
        <w:rPr>
          <w:sz w:val="20"/>
          <w:szCs w:val="20"/>
          <w:color w:val="auto"/>
        </w:rPr>
      </w:pPr>
      <w:r>
        <w:rPr>
          <w:rFonts w:ascii="Times New Roman" w:cs="Times New Roman" w:eastAsia="Times New Roman" w:hAnsi="Times New Roman"/>
          <w:sz w:val="22"/>
          <w:szCs w:val="22"/>
          <w:color w:val="auto"/>
        </w:rPr>
        <w:t>The information required by this Item 4(c)(iv) is set forth in Row 8 of the cover page for each Reporting Person hereto and is incorporated herein by reference for each such Reporting Person. 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35" w:orient="portrait"/>
          <w:cols w:equalWidth="0" w:num="1">
            <w:col w:w="11140"/>
          </w:cols>
          <w:pgMar w:left="360" w:top="409"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935" w:orient="portrait"/>
          <w:cols w:equalWidth="0" w:num="2">
            <w:col w:w="620" w:space="300"/>
            <w:col w:w="10220"/>
          </w:cols>
          <w:pgMar w:left="360" w:top="409"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935" w:orient="portrait"/>
          <w:cols w:equalWidth="0" w:num="1">
            <w:col w:w="11140"/>
          </w:cols>
          <w:pgMar w:left="360" w:top="409" w:right="399" w:bottom="0" w:gutter="0" w:footer="0" w:header="0"/>
          <w:type w:val="continuous"/>
        </w:sectPr>
      </w:pPr>
    </w:p>
    <w:bookmarkStart w:id="4" w:name="page5"/>
    <w:bookmarkEnd w:id="4"/>
    <w:p>
      <w:pPr>
        <w:ind w:left="2140"/>
        <w:spacing w:after="0"/>
        <w:rPr>
          <w:sz w:val="20"/>
          <w:szCs w:val="20"/>
          <w:color w:val="auto"/>
        </w:rPr>
      </w:pPr>
      <w:r>
        <w:rPr>
          <w:rFonts w:ascii="Times New Roman" w:cs="Times New Roman" w:eastAsia="Times New Roman" w:hAnsi="Times New Roman"/>
          <w:sz w:val="22"/>
          <w:szCs w:val="22"/>
          <w:color w:val="auto"/>
        </w:rPr>
        <w:t>CVI Investments, Inc.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Sarah Travis</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Sarah Travis, Assistant General Counsel and</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Assistant Secretary of Heights Capital</w:t>
      </w:r>
    </w:p>
    <w:p>
      <w:pPr>
        <w:ind w:left="6780"/>
        <w:spacing w:after="0"/>
        <w:rPr>
          <w:sz w:val="20"/>
          <w:szCs w:val="20"/>
          <w:color w:val="auto"/>
        </w:rPr>
      </w:pPr>
      <w:r>
        <w:rPr>
          <w:rFonts w:ascii="Times New Roman" w:cs="Times New Roman" w:eastAsia="Times New Roman" w:hAnsi="Times New Roman"/>
          <w:sz w:val="22"/>
          <w:szCs w:val="22"/>
          <w:color w:val="auto"/>
        </w:rPr>
        <w:t>Management, Inc.</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Heights Capital Management, Inc.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Sarah Travis</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Sarah Travis, Assistant General Counsel and</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Assistant Secretary</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Heights Capital Management, Inc. serves as authorized agent of CVI Investments,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pursuant to a Limited Power of Attorney, a copy of which was previously filed.</w:t>
      </w:r>
    </w:p>
    <w:p>
      <w:pPr>
        <w:spacing w:after="0" w:line="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EXHIBIT INDEX EXHIBIT DESCRIPTION 24 Limited Power of Attorney* 99 Joint Filing Agreement* * Previously filed</w:t>
      </w:r>
    </w:p>
    <w:sectPr>
      <w:pgSz w:w="11900" w:h="16838" w:orient="portrait"/>
      <w:cols w:equalWidth="0" w:num="1">
        <w:col w:w="10960"/>
      </w:cols>
      <w:pgMar w:left="320" w:top="47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5"/>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2026-05-15T11:22:01Z</dcterms:created>
  <dcterms:modified xsi:type="dcterms:W3CDTF">2026-05-15T11:22:01Z</dcterms:modified>
</cp:coreProperties>
</file>